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0CD03540"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 xml:space="preserve">How to </w:t>
      </w:r>
      <w:r w:rsidR="00D956D8">
        <w:rPr>
          <w:rFonts w:asciiTheme="minorHAnsi" w:hAnsiTheme="minorHAnsi" w:cstheme="minorHAnsi"/>
          <w:b/>
          <w:color w:val="323A45"/>
          <w:sz w:val="28"/>
          <w:szCs w:val="28"/>
          <w:u w:val="single"/>
        </w:rPr>
        <w:t xml:space="preserve">Access </w:t>
      </w:r>
      <w:r w:rsidR="00FC2CF5">
        <w:rPr>
          <w:rFonts w:asciiTheme="minorHAnsi" w:hAnsiTheme="minorHAnsi" w:cstheme="minorHAnsi"/>
          <w:b/>
          <w:color w:val="323A45"/>
          <w:sz w:val="28"/>
          <w:szCs w:val="28"/>
          <w:u w:val="single"/>
        </w:rPr>
        <w:t>National Cemeteries</w:t>
      </w:r>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486318AC" w:rsidR="001815F6" w:rsidRPr="008B717B" w:rsidRDefault="001815F6" w:rsidP="00BF349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w:t>
      </w:r>
      <w:r w:rsidR="00FC2CF5">
        <w:rPr>
          <w:rFonts w:asciiTheme="minorHAnsi" w:hAnsiTheme="minorHAnsi" w:cstheme="minorHAnsi"/>
          <w:color w:val="323A45"/>
          <w:sz w:val="24"/>
          <w:szCs w:val="24"/>
        </w:rPr>
        <w:t>Access to National Cemeteries</w:t>
      </w:r>
    </w:p>
    <w:p w14:paraId="2438C842" w14:textId="31675016" w:rsidR="001815F6" w:rsidRPr="00DD70BA" w:rsidRDefault="001815F6" w:rsidP="00BF349D">
      <w:pPr>
        <w:rPr>
          <w:rFonts w:asciiTheme="minorHAnsi" w:hAnsiTheme="minorHAnsi" w:cstheme="minorHAnsi"/>
          <w:b/>
          <w:color w:val="323A45"/>
          <w:sz w:val="24"/>
          <w:szCs w:val="24"/>
        </w:rPr>
      </w:pPr>
    </w:p>
    <w:p w14:paraId="2D2DE0E4" w14:textId="338060A1" w:rsidR="002D3BEB" w:rsidRDefault="001815F6" w:rsidP="00D956D8">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r w:rsidR="00FC2CF5">
        <w:rPr>
          <w:rFonts w:asciiTheme="minorHAnsi" w:hAnsiTheme="minorHAnsi" w:cstheme="minorHAnsi"/>
          <w:color w:val="323A45"/>
          <w:sz w:val="24"/>
          <w:szCs w:val="24"/>
        </w:rPr>
        <w:t xml:space="preserve">One of the frequent questions I get is how to intern a loved one at either a National Cemetary or a State Cemetary. </w:t>
      </w:r>
      <w:r w:rsidR="00FC2CF5" w:rsidRPr="00FC2CF5">
        <w:rPr>
          <w:rFonts w:asciiTheme="minorHAnsi" w:hAnsiTheme="minorHAnsi" w:cstheme="minorHAnsi"/>
          <w:color w:val="323A45"/>
          <w:sz w:val="24"/>
          <w:szCs w:val="24"/>
        </w:rPr>
        <w:t>The Department of Veterans Affairs' (VA) National Cemetery Administration maintains 136 national cemeteries in 40 states (and Puerto Rico) as well as 33 soldier's lots and monument sites. Please note that there is not a VA national cemetery in every state.</w:t>
      </w:r>
    </w:p>
    <w:p w14:paraId="5F07CCB0" w14:textId="494471B9" w:rsidR="00FC2CF5" w:rsidRDefault="00FC2CF5" w:rsidP="00D956D8">
      <w:pPr>
        <w:rPr>
          <w:rFonts w:asciiTheme="minorHAnsi" w:hAnsiTheme="minorHAnsi" w:cstheme="minorHAnsi"/>
          <w:color w:val="323A45"/>
          <w:sz w:val="24"/>
          <w:szCs w:val="24"/>
        </w:rPr>
      </w:pPr>
    </w:p>
    <w:p w14:paraId="61CBB4B9" w14:textId="127F4B6C" w:rsidR="00FC2CF5" w:rsidRPr="00FC2CF5" w:rsidRDefault="00FC2CF5" w:rsidP="00D956D8">
      <w:pPr>
        <w:rPr>
          <w:rFonts w:asciiTheme="minorHAnsi" w:hAnsiTheme="minorHAnsi" w:cstheme="minorHAnsi"/>
          <w:iCs/>
          <w:color w:val="2E2E2E"/>
          <w:sz w:val="24"/>
          <w:szCs w:val="24"/>
        </w:rPr>
      </w:pPr>
      <w:r w:rsidRPr="00FC2CF5">
        <w:rPr>
          <w:rFonts w:asciiTheme="minorHAnsi" w:hAnsiTheme="minorHAnsi" w:cstheme="minorHAnsi"/>
          <w:iCs/>
          <w:color w:val="2E2E2E"/>
          <w:sz w:val="24"/>
          <w:szCs w:val="24"/>
        </w:rPr>
        <w:t xml:space="preserve">Many states have established state </w:t>
      </w:r>
      <w:r w:rsidR="0057287E" w:rsidRPr="00FC2CF5">
        <w:rPr>
          <w:rFonts w:asciiTheme="minorHAnsi" w:hAnsiTheme="minorHAnsi" w:cstheme="minorHAnsi"/>
          <w:iCs/>
          <w:color w:val="2E2E2E"/>
          <w:sz w:val="24"/>
          <w:szCs w:val="24"/>
        </w:rPr>
        <w:t>veterans’</w:t>
      </w:r>
      <w:r w:rsidRPr="00FC2CF5">
        <w:rPr>
          <w:rFonts w:asciiTheme="minorHAnsi" w:hAnsiTheme="minorHAnsi" w:cstheme="minorHAnsi"/>
          <w:iCs/>
          <w:color w:val="2E2E2E"/>
          <w:sz w:val="24"/>
          <w:szCs w:val="24"/>
        </w:rPr>
        <w:t xml:space="preserve"> cemeteries. Eligibility is similar to Department of Veterans Affairs (VA) national cemeteries, but may include residency requirements. Even though they may have been established or improved with Government funds through VA's </w:t>
      </w:r>
      <w:hyperlink r:id="rId7" w:tooltip="Veterans Cemetery Grants Program" w:history="1">
        <w:r w:rsidRPr="00FC2CF5">
          <w:rPr>
            <w:rStyle w:val="Hyperlink"/>
            <w:rFonts w:asciiTheme="minorHAnsi" w:hAnsiTheme="minorHAnsi" w:cstheme="minorHAnsi"/>
            <w:iCs/>
            <w:sz w:val="24"/>
            <w:szCs w:val="24"/>
          </w:rPr>
          <w:t>Veterans Cemetery Grants Program</w:t>
        </w:r>
      </w:hyperlink>
      <w:r w:rsidRPr="00FC2CF5">
        <w:rPr>
          <w:rFonts w:asciiTheme="minorHAnsi" w:hAnsiTheme="minorHAnsi" w:cstheme="minorHAnsi"/>
          <w:iCs/>
          <w:color w:val="2E2E2E"/>
          <w:sz w:val="24"/>
          <w:szCs w:val="24"/>
        </w:rPr>
        <w:t>, state veterans cemeteries are run solely by the states.</w:t>
      </w:r>
    </w:p>
    <w:p w14:paraId="54195CF3" w14:textId="77777777" w:rsidR="002D3BEB" w:rsidRPr="00DD70BA" w:rsidRDefault="002D3BEB" w:rsidP="002D3BEB">
      <w:pPr>
        <w:rPr>
          <w:rFonts w:asciiTheme="minorHAnsi" w:hAnsiTheme="minorHAnsi" w:cstheme="minorHAnsi"/>
          <w:i/>
          <w:iCs/>
          <w:color w:val="323A45"/>
        </w:rPr>
      </w:pPr>
    </w:p>
    <w:p w14:paraId="41F4B9F6" w14:textId="58B8ECF0" w:rsidR="008B717B" w:rsidRDefault="001815F6" w:rsidP="001815F6">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p>
    <w:p w14:paraId="0D41A97B" w14:textId="77777777" w:rsidR="008B1E55" w:rsidRDefault="008B1E55" w:rsidP="001815F6">
      <w:pPr>
        <w:rPr>
          <w:rFonts w:asciiTheme="minorHAnsi" w:hAnsiTheme="minorHAnsi" w:cstheme="minorHAnsi"/>
          <w:b/>
          <w:color w:val="323A45"/>
          <w:sz w:val="24"/>
          <w:szCs w:val="24"/>
        </w:rPr>
      </w:pPr>
      <w:r>
        <w:rPr>
          <w:rFonts w:asciiTheme="minorHAnsi" w:hAnsiTheme="minorHAnsi" w:cstheme="minorHAnsi"/>
          <w:b/>
          <w:color w:val="323A45"/>
          <w:sz w:val="24"/>
          <w:szCs w:val="24"/>
        </w:rPr>
        <w:tab/>
      </w:r>
    </w:p>
    <w:p w14:paraId="49669E8F" w14:textId="32F6FDE5" w:rsidR="008B1E55" w:rsidRDefault="008B1E55" w:rsidP="008B1E55">
      <w:pPr>
        <w:ind w:firstLine="720"/>
        <w:rPr>
          <w:rFonts w:asciiTheme="minorHAnsi" w:hAnsiTheme="minorHAnsi" w:cstheme="minorHAnsi"/>
          <w:b/>
          <w:color w:val="323A45"/>
          <w:sz w:val="24"/>
          <w:szCs w:val="24"/>
        </w:rPr>
      </w:pPr>
      <w:hyperlink r:id="rId8" w:history="1">
        <w:r w:rsidRPr="00E46F39">
          <w:rPr>
            <w:rStyle w:val="Hyperlink"/>
            <w:rFonts w:asciiTheme="minorHAnsi" w:hAnsiTheme="minorHAnsi" w:cstheme="minorHAnsi"/>
            <w:b/>
            <w:sz w:val="24"/>
            <w:szCs w:val="24"/>
          </w:rPr>
          <w:t>https://www.cem.va.gov/cem/index.asp</w:t>
        </w:r>
      </w:hyperlink>
    </w:p>
    <w:p w14:paraId="6D6EF716" w14:textId="77777777" w:rsidR="008B1E55" w:rsidRDefault="008B1E55" w:rsidP="001815F6">
      <w:pPr>
        <w:rPr>
          <w:rFonts w:asciiTheme="minorHAnsi" w:hAnsiTheme="minorHAnsi" w:cstheme="minorHAnsi"/>
          <w:b/>
          <w:color w:val="323A45"/>
          <w:sz w:val="24"/>
          <w:szCs w:val="24"/>
        </w:rPr>
      </w:pPr>
    </w:p>
    <w:p w14:paraId="6E7E5FD4" w14:textId="4523C67E" w:rsidR="001815F6"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 xml:space="preserve">Who Qualifies: </w:t>
      </w:r>
    </w:p>
    <w:p w14:paraId="0882AE90" w14:textId="186F752D" w:rsidR="001313D5" w:rsidRDefault="001313D5" w:rsidP="00BF349D">
      <w:pPr>
        <w:rPr>
          <w:rFonts w:asciiTheme="minorHAnsi" w:hAnsiTheme="minorHAnsi" w:cstheme="minorHAnsi"/>
          <w:b/>
          <w:color w:val="323A45"/>
          <w:sz w:val="24"/>
          <w:szCs w:val="24"/>
          <w:u w:val="single"/>
        </w:rPr>
      </w:pPr>
    </w:p>
    <w:p w14:paraId="06EEEEEE" w14:textId="60339F15" w:rsidR="001313D5" w:rsidRDefault="001313D5" w:rsidP="00BF349D">
      <w:pPr>
        <w:rPr>
          <w:rFonts w:asciiTheme="minorHAnsi" w:hAnsiTheme="minorHAnsi" w:cstheme="minorHAnsi"/>
          <w:color w:val="323A45"/>
          <w:sz w:val="24"/>
          <w:szCs w:val="24"/>
        </w:rPr>
      </w:pPr>
      <w:r>
        <w:rPr>
          <w:rFonts w:asciiTheme="minorHAnsi" w:hAnsiTheme="minorHAnsi" w:cstheme="minorHAnsi"/>
          <w:color w:val="323A45"/>
          <w:sz w:val="24"/>
          <w:szCs w:val="24"/>
        </w:rPr>
        <w:tab/>
      </w:r>
      <w:hyperlink r:id="rId9" w:history="1">
        <w:r w:rsidRPr="00E46F39">
          <w:rPr>
            <w:rStyle w:val="Hyperlink"/>
            <w:rFonts w:asciiTheme="minorHAnsi" w:hAnsiTheme="minorHAnsi" w:cstheme="minorHAnsi"/>
            <w:sz w:val="24"/>
            <w:szCs w:val="24"/>
          </w:rPr>
          <w:t>https://www.cem.va.gov/cem/burial_benefits/eligible.asp</w:t>
        </w:r>
      </w:hyperlink>
    </w:p>
    <w:p w14:paraId="5637BFDE" w14:textId="33C896CE" w:rsidR="001815F6" w:rsidRPr="008B717B" w:rsidRDefault="001815F6" w:rsidP="00BF349D">
      <w:pPr>
        <w:rPr>
          <w:rFonts w:asciiTheme="minorHAnsi" w:hAnsiTheme="minorHAnsi" w:cstheme="minorHAnsi"/>
          <w:color w:val="323A45"/>
          <w:sz w:val="24"/>
          <w:szCs w:val="24"/>
        </w:rPr>
      </w:pPr>
    </w:p>
    <w:p w14:paraId="74F8A56A" w14:textId="6CDF7A4E" w:rsidR="001815F6"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Information:</w:t>
      </w:r>
    </w:p>
    <w:p w14:paraId="546400AA" w14:textId="1B7A5D31" w:rsidR="008B1E55" w:rsidRDefault="008B1E55" w:rsidP="00BF349D">
      <w:pPr>
        <w:rPr>
          <w:rFonts w:asciiTheme="minorHAnsi" w:hAnsiTheme="minorHAnsi" w:cstheme="minorHAnsi"/>
          <w:b/>
          <w:color w:val="323A45"/>
          <w:sz w:val="24"/>
          <w:szCs w:val="24"/>
          <w:u w:val="single"/>
        </w:rPr>
      </w:pPr>
    </w:p>
    <w:p w14:paraId="4055D5B3" w14:textId="37180B89" w:rsidR="008B1E55" w:rsidRPr="008B1E55" w:rsidRDefault="008B1E55" w:rsidP="008B1E55">
      <w:pPr>
        <w:ind w:left="1440" w:firstLine="720"/>
        <w:rPr>
          <w:rFonts w:asciiTheme="minorHAnsi" w:hAnsiTheme="minorHAnsi" w:cstheme="minorHAnsi"/>
          <w:color w:val="323A45"/>
          <w:sz w:val="24"/>
          <w:szCs w:val="24"/>
          <w:u w:val="single"/>
        </w:rPr>
      </w:pPr>
      <w:r w:rsidRPr="008B1E55">
        <w:rPr>
          <w:rFonts w:asciiTheme="minorHAnsi" w:hAnsiTheme="minorHAnsi" w:cstheme="minorHAnsi"/>
          <w:color w:val="323A45"/>
          <w:sz w:val="24"/>
          <w:szCs w:val="24"/>
          <w:u w:val="single"/>
        </w:rPr>
        <w:t xml:space="preserve">National </w:t>
      </w:r>
      <w:r w:rsidR="0057287E" w:rsidRPr="008B1E55">
        <w:rPr>
          <w:rFonts w:asciiTheme="minorHAnsi" w:hAnsiTheme="minorHAnsi" w:cstheme="minorHAnsi"/>
          <w:color w:val="323A45"/>
          <w:sz w:val="24"/>
          <w:szCs w:val="24"/>
          <w:u w:val="single"/>
        </w:rPr>
        <w:t>Cemeteries</w:t>
      </w:r>
      <w:r w:rsidRPr="008B1E55">
        <w:rPr>
          <w:rFonts w:asciiTheme="minorHAnsi" w:hAnsiTheme="minorHAnsi" w:cstheme="minorHAnsi"/>
          <w:color w:val="323A45"/>
          <w:sz w:val="24"/>
          <w:szCs w:val="24"/>
          <w:u w:val="single"/>
        </w:rPr>
        <w:t xml:space="preserve"> located in Michigan</w:t>
      </w:r>
    </w:p>
    <w:p w14:paraId="463CC226" w14:textId="77777777" w:rsidR="00744FBE" w:rsidRPr="00DD70BA" w:rsidRDefault="00744FBE" w:rsidP="00BF349D">
      <w:pPr>
        <w:rPr>
          <w:rFonts w:asciiTheme="minorHAnsi" w:hAnsiTheme="minorHAnsi" w:cstheme="minorHAnsi"/>
          <w:b/>
          <w:color w:val="323A45"/>
          <w:sz w:val="24"/>
          <w:szCs w:val="24"/>
          <w:u w:val="single"/>
        </w:rPr>
      </w:pPr>
    </w:p>
    <w:tbl>
      <w:tblPr>
        <w:tblW w:w="5000" w:type="pct"/>
        <w:jc w:val="center"/>
        <w:tblCellMar>
          <w:top w:w="6" w:type="dxa"/>
          <w:left w:w="6" w:type="dxa"/>
          <w:bottom w:w="6" w:type="dxa"/>
          <w:right w:w="6" w:type="dxa"/>
        </w:tblCellMar>
        <w:tblLook w:val="04A0" w:firstRow="1" w:lastRow="0" w:firstColumn="1" w:lastColumn="0" w:noHBand="0" w:noVBand="1"/>
      </w:tblPr>
      <w:tblGrid>
        <w:gridCol w:w="2627"/>
        <w:gridCol w:w="2475"/>
        <w:gridCol w:w="3165"/>
        <w:gridCol w:w="1093"/>
      </w:tblGrid>
      <w:tr w:rsidR="00744FBE" w:rsidRPr="00744FBE" w14:paraId="515BBD7E" w14:textId="77777777" w:rsidTr="00744FBE">
        <w:trPr>
          <w:jc w:val="center"/>
        </w:trPr>
        <w:tc>
          <w:tcPr>
            <w:tcW w:w="0" w:type="auto"/>
            <w:gridSpan w:val="4"/>
            <w:tcBorders>
              <w:top w:val="nil"/>
              <w:left w:val="nil"/>
              <w:bottom w:val="nil"/>
              <w:right w:val="nil"/>
            </w:tcBorders>
            <w:shd w:val="clear" w:color="auto" w:fill="FFFFFF"/>
            <w:tcMar>
              <w:top w:w="0" w:type="dxa"/>
              <w:left w:w="0" w:type="dxa"/>
              <w:bottom w:w="0" w:type="dxa"/>
              <w:right w:w="0" w:type="dxa"/>
            </w:tcMar>
            <w:vAlign w:val="center"/>
            <w:hideMark/>
          </w:tcPr>
          <w:p w14:paraId="4C00AF8E" w14:textId="23F1038C" w:rsidR="00744FBE" w:rsidRPr="00744FBE" w:rsidRDefault="00744FBE" w:rsidP="00744FBE">
            <w:pPr>
              <w:rPr>
                <w:rFonts w:asciiTheme="minorHAnsi" w:hAnsiTheme="minorHAnsi" w:cstheme="minorHAnsi"/>
                <w:b/>
                <w:u w:val="single"/>
              </w:rPr>
            </w:pPr>
          </w:p>
        </w:tc>
      </w:tr>
      <w:tr w:rsidR="008B1E55" w:rsidRPr="008B1E55" w14:paraId="0F2DA999" w14:textId="77777777" w:rsidTr="00744FBE">
        <w:trPr>
          <w:jc w:val="center"/>
        </w:trPr>
        <w:tc>
          <w:tcPr>
            <w:tcW w:w="0" w:type="auto"/>
            <w:shd w:val="clear" w:color="auto" w:fill="FFFFFF"/>
            <w:tcMar>
              <w:top w:w="0" w:type="dxa"/>
              <w:left w:w="0" w:type="dxa"/>
              <w:bottom w:w="0" w:type="dxa"/>
              <w:right w:w="0" w:type="dxa"/>
            </w:tcMar>
            <w:hideMark/>
          </w:tcPr>
          <w:p w14:paraId="47815B9F" w14:textId="77777777" w:rsidR="00744FBE" w:rsidRPr="00744FBE" w:rsidRDefault="00744FBE" w:rsidP="00744FBE">
            <w:pPr>
              <w:rPr>
                <w:rFonts w:asciiTheme="minorHAnsi" w:hAnsiTheme="minorHAnsi" w:cstheme="minorHAnsi"/>
                <w:bCs/>
                <w:u w:val="single"/>
              </w:rPr>
            </w:pPr>
            <w:r w:rsidRPr="00744FBE">
              <w:rPr>
                <w:rFonts w:asciiTheme="minorHAnsi" w:hAnsiTheme="minorHAnsi" w:cstheme="minorHAnsi"/>
                <w:bCs/>
                <w:u w:val="single"/>
              </w:rPr>
              <w:t>Cemetery</w:t>
            </w:r>
          </w:p>
        </w:tc>
        <w:tc>
          <w:tcPr>
            <w:tcW w:w="0" w:type="auto"/>
            <w:shd w:val="clear" w:color="auto" w:fill="FFFFFF"/>
            <w:tcMar>
              <w:top w:w="0" w:type="dxa"/>
              <w:left w:w="0" w:type="dxa"/>
              <w:bottom w:w="0" w:type="dxa"/>
              <w:right w:w="0" w:type="dxa"/>
            </w:tcMar>
            <w:hideMark/>
          </w:tcPr>
          <w:p w14:paraId="48A4BC3A" w14:textId="77777777" w:rsidR="00744FBE" w:rsidRPr="00744FBE" w:rsidRDefault="00744FBE" w:rsidP="00744FBE">
            <w:pPr>
              <w:rPr>
                <w:rFonts w:asciiTheme="minorHAnsi" w:hAnsiTheme="minorHAnsi" w:cstheme="minorHAnsi"/>
                <w:bCs/>
                <w:u w:val="single"/>
              </w:rPr>
            </w:pPr>
            <w:r w:rsidRPr="00744FBE">
              <w:rPr>
                <w:rFonts w:asciiTheme="minorHAnsi" w:hAnsiTheme="minorHAnsi" w:cstheme="minorHAnsi"/>
                <w:bCs/>
                <w:u w:val="single"/>
              </w:rPr>
              <w:t>Address</w:t>
            </w:r>
          </w:p>
        </w:tc>
        <w:tc>
          <w:tcPr>
            <w:tcW w:w="0" w:type="auto"/>
            <w:shd w:val="clear" w:color="auto" w:fill="FFFFFF"/>
            <w:tcMar>
              <w:top w:w="0" w:type="dxa"/>
              <w:left w:w="0" w:type="dxa"/>
              <w:bottom w:w="0" w:type="dxa"/>
              <w:right w:w="0" w:type="dxa"/>
            </w:tcMar>
            <w:hideMark/>
          </w:tcPr>
          <w:p w14:paraId="72D5D243" w14:textId="77777777" w:rsidR="00744FBE" w:rsidRPr="00744FBE" w:rsidRDefault="00744FBE" w:rsidP="00744FBE">
            <w:pPr>
              <w:rPr>
                <w:rFonts w:asciiTheme="minorHAnsi" w:hAnsiTheme="minorHAnsi" w:cstheme="minorHAnsi"/>
                <w:bCs/>
                <w:u w:val="single"/>
              </w:rPr>
            </w:pPr>
            <w:r w:rsidRPr="00744FBE">
              <w:rPr>
                <w:rFonts w:asciiTheme="minorHAnsi" w:hAnsiTheme="minorHAnsi" w:cstheme="minorHAnsi"/>
                <w:bCs/>
                <w:u w:val="single"/>
              </w:rPr>
              <w:t>Contact</w:t>
            </w:r>
          </w:p>
        </w:tc>
        <w:tc>
          <w:tcPr>
            <w:tcW w:w="0" w:type="auto"/>
            <w:shd w:val="clear" w:color="auto" w:fill="FFFFFF"/>
            <w:tcMar>
              <w:top w:w="0" w:type="dxa"/>
              <w:left w:w="0" w:type="dxa"/>
              <w:bottom w:w="0" w:type="dxa"/>
              <w:right w:w="0" w:type="dxa"/>
            </w:tcMar>
            <w:hideMark/>
          </w:tcPr>
          <w:p w14:paraId="0FF04256" w14:textId="77777777" w:rsidR="00744FBE" w:rsidRPr="00744FBE" w:rsidRDefault="00744FBE" w:rsidP="00744FBE">
            <w:pPr>
              <w:rPr>
                <w:rFonts w:asciiTheme="minorHAnsi" w:hAnsiTheme="minorHAnsi" w:cstheme="minorHAnsi"/>
                <w:bCs/>
                <w:u w:val="single"/>
              </w:rPr>
            </w:pPr>
            <w:hyperlink r:id="rId10" w:anchor="open" w:tooltip="VA Funded" w:history="1">
              <w:r w:rsidRPr="00744FBE">
                <w:rPr>
                  <w:rStyle w:val="Hyperlink"/>
                  <w:rFonts w:asciiTheme="minorHAnsi" w:hAnsiTheme="minorHAnsi" w:cstheme="minorHAnsi"/>
                  <w:bCs/>
                  <w:color w:val="auto"/>
                </w:rPr>
                <w:t>Burial Space</w:t>
              </w:r>
            </w:hyperlink>
          </w:p>
        </w:tc>
      </w:tr>
      <w:tr w:rsidR="00744FBE" w:rsidRPr="00744FBE" w14:paraId="5A80D449" w14:textId="77777777" w:rsidTr="00744FBE">
        <w:trPr>
          <w:jc w:val="center"/>
        </w:trPr>
        <w:tc>
          <w:tcPr>
            <w:tcW w:w="0" w:type="auto"/>
            <w:tcBorders>
              <w:bottom w:val="nil"/>
              <w:right w:val="nil"/>
            </w:tcBorders>
            <w:shd w:val="clear" w:color="auto" w:fill="FFFFFF"/>
            <w:tcMar>
              <w:top w:w="45" w:type="dxa"/>
              <w:left w:w="45" w:type="dxa"/>
              <w:bottom w:w="45" w:type="dxa"/>
              <w:right w:w="45" w:type="dxa"/>
            </w:tcMar>
            <w:hideMark/>
          </w:tcPr>
          <w:p w14:paraId="65D00994" w14:textId="77777777" w:rsidR="00744FBE" w:rsidRPr="00744FBE" w:rsidRDefault="00744FBE" w:rsidP="00744FBE">
            <w:pPr>
              <w:rPr>
                <w:rFonts w:asciiTheme="minorHAnsi" w:hAnsiTheme="minorHAnsi" w:cstheme="minorHAnsi"/>
              </w:rPr>
            </w:pPr>
            <w:hyperlink r:id="rId11" w:tooltip="Fort Custer National Cemetery" w:history="1">
              <w:r w:rsidRPr="00744FBE">
                <w:rPr>
                  <w:rStyle w:val="Hyperlink"/>
                  <w:rFonts w:asciiTheme="minorHAnsi" w:hAnsiTheme="minorHAnsi" w:cstheme="minorHAnsi"/>
                </w:rPr>
                <w:t>Fort Custer National Cemetery</w:t>
              </w:r>
            </w:hyperlink>
          </w:p>
        </w:tc>
        <w:tc>
          <w:tcPr>
            <w:tcW w:w="0" w:type="auto"/>
            <w:tcBorders>
              <w:bottom w:val="nil"/>
              <w:right w:val="nil"/>
            </w:tcBorders>
            <w:shd w:val="clear" w:color="auto" w:fill="FFFFFF"/>
            <w:noWrap/>
            <w:tcMar>
              <w:top w:w="45" w:type="dxa"/>
              <w:left w:w="45" w:type="dxa"/>
              <w:bottom w:w="45" w:type="dxa"/>
              <w:right w:w="45" w:type="dxa"/>
            </w:tcMar>
            <w:hideMark/>
          </w:tcPr>
          <w:p w14:paraId="790C590A"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15501 Dickman Rd.</w:t>
            </w:r>
            <w:r w:rsidRPr="00744FBE">
              <w:rPr>
                <w:rFonts w:asciiTheme="minorHAnsi" w:hAnsiTheme="minorHAnsi" w:cstheme="minorHAnsi"/>
              </w:rPr>
              <w:br/>
              <w:t xml:space="preserve">Augusta, MI 49012 </w:t>
            </w:r>
          </w:p>
        </w:tc>
        <w:tc>
          <w:tcPr>
            <w:tcW w:w="0" w:type="auto"/>
            <w:tcBorders>
              <w:bottom w:val="nil"/>
              <w:right w:val="nil"/>
            </w:tcBorders>
            <w:shd w:val="clear" w:color="auto" w:fill="FFFFFF"/>
            <w:tcMar>
              <w:top w:w="45" w:type="dxa"/>
              <w:left w:w="45" w:type="dxa"/>
              <w:bottom w:w="45" w:type="dxa"/>
              <w:right w:w="45" w:type="dxa"/>
            </w:tcMar>
            <w:hideMark/>
          </w:tcPr>
          <w:p w14:paraId="69C0D283"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Phone: 269-731-4164</w:t>
            </w:r>
            <w:r w:rsidRPr="00744FBE">
              <w:rPr>
                <w:rFonts w:asciiTheme="minorHAnsi" w:hAnsiTheme="minorHAnsi" w:cstheme="minorHAnsi"/>
              </w:rPr>
              <w:br/>
              <w:t xml:space="preserve">FAX: 269-731-2428 </w:t>
            </w:r>
          </w:p>
        </w:tc>
        <w:tc>
          <w:tcPr>
            <w:tcW w:w="0" w:type="auto"/>
            <w:tcBorders>
              <w:bottom w:val="nil"/>
              <w:right w:val="nil"/>
            </w:tcBorders>
            <w:shd w:val="clear" w:color="auto" w:fill="FFFFFF"/>
            <w:tcMar>
              <w:top w:w="45" w:type="dxa"/>
              <w:left w:w="45" w:type="dxa"/>
              <w:bottom w:w="45" w:type="dxa"/>
              <w:right w:w="45" w:type="dxa"/>
            </w:tcMar>
            <w:hideMark/>
          </w:tcPr>
          <w:p w14:paraId="2558CB6D"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Open</w:t>
            </w:r>
          </w:p>
        </w:tc>
      </w:tr>
      <w:tr w:rsidR="00744FBE" w:rsidRPr="00744FBE" w14:paraId="2289BC59" w14:textId="77777777" w:rsidTr="00744FBE">
        <w:trPr>
          <w:jc w:val="center"/>
        </w:trPr>
        <w:tc>
          <w:tcPr>
            <w:tcW w:w="0" w:type="auto"/>
            <w:tcBorders>
              <w:bottom w:val="nil"/>
              <w:right w:val="nil"/>
            </w:tcBorders>
            <w:shd w:val="clear" w:color="auto" w:fill="FFFFFF"/>
            <w:tcMar>
              <w:top w:w="45" w:type="dxa"/>
              <w:left w:w="45" w:type="dxa"/>
              <w:bottom w:w="45" w:type="dxa"/>
              <w:right w:w="45" w:type="dxa"/>
            </w:tcMar>
            <w:hideMark/>
          </w:tcPr>
          <w:p w14:paraId="1B5CDD7F" w14:textId="77777777" w:rsidR="00744FBE" w:rsidRPr="00744FBE" w:rsidRDefault="00744FBE" w:rsidP="00744FBE">
            <w:pPr>
              <w:rPr>
                <w:rFonts w:asciiTheme="minorHAnsi" w:hAnsiTheme="minorHAnsi" w:cstheme="minorHAnsi"/>
              </w:rPr>
            </w:pPr>
            <w:hyperlink r:id="rId12" w:tooltip="Great Lakes National Cemetery" w:history="1">
              <w:r w:rsidRPr="00744FBE">
                <w:rPr>
                  <w:rStyle w:val="Hyperlink"/>
                  <w:rFonts w:asciiTheme="minorHAnsi" w:hAnsiTheme="minorHAnsi" w:cstheme="minorHAnsi"/>
                </w:rPr>
                <w:t>Great Lakes National Cemetery</w:t>
              </w:r>
            </w:hyperlink>
          </w:p>
        </w:tc>
        <w:tc>
          <w:tcPr>
            <w:tcW w:w="0" w:type="auto"/>
            <w:tcBorders>
              <w:bottom w:val="nil"/>
              <w:right w:val="nil"/>
            </w:tcBorders>
            <w:shd w:val="clear" w:color="auto" w:fill="FFFFFF"/>
            <w:noWrap/>
            <w:tcMar>
              <w:top w:w="45" w:type="dxa"/>
              <w:left w:w="45" w:type="dxa"/>
              <w:bottom w:w="45" w:type="dxa"/>
              <w:right w:w="45" w:type="dxa"/>
            </w:tcMar>
            <w:hideMark/>
          </w:tcPr>
          <w:p w14:paraId="54AA16F8"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4200 Belford Road</w:t>
            </w:r>
            <w:r w:rsidRPr="00744FBE">
              <w:rPr>
                <w:rFonts w:asciiTheme="minorHAnsi" w:hAnsiTheme="minorHAnsi" w:cstheme="minorHAnsi"/>
              </w:rPr>
              <w:br/>
              <w:t xml:space="preserve">Holly, MI 48442 </w:t>
            </w:r>
          </w:p>
        </w:tc>
        <w:tc>
          <w:tcPr>
            <w:tcW w:w="0" w:type="auto"/>
            <w:tcBorders>
              <w:bottom w:val="nil"/>
              <w:right w:val="nil"/>
            </w:tcBorders>
            <w:shd w:val="clear" w:color="auto" w:fill="FFFFFF"/>
            <w:tcMar>
              <w:top w:w="45" w:type="dxa"/>
              <w:left w:w="45" w:type="dxa"/>
              <w:bottom w:w="45" w:type="dxa"/>
              <w:right w:w="45" w:type="dxa"/>
            </w:tcMar>
            <w:hideMark/>
          </w:tcPr>
          <w:p w14:paraId="1C400D06"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Phone: 248-328-0386 Or 866-348-8603</w:t>
            </w:r>
            <w:r w:rsidRPr="00744FBE">
              <w:rPr>
                <w:rFonts w:asciiTheme="minorHAnsi" w:hAnsiTheme="minorHAnsi" w:cstheme="minorHAnsi"/>
              </w:rPr>
              <w:br/>
              <w:t xml:space="preserve">FAX: 248-328-0612 </w:t>
            </w:r>
          </w:p>
        </w:tc>
        <w:tc>
          <w:tcPr>
            <w:tcW w:w="0" w:type="auto"/>
            <w:tcBorders>
              <w:bottom w:val="nil"/>
              <w:right w:val="nil"/>
            </w:tcBorders>
            <w:shd w:val="clear" w:color="auto" w:fill="FFFFFF"/>
            <w:tcMar>
              <w:top w:w="45" w:type="dxa"/>
              <w:left w:w="45" w:type="dxa"/>
              <w:bottom w:w="45" w:type="dxa"/>
              <w:right w:w="45" w:type="dxa"/>
            </w:tcMar>
            <w:hideMark/>
          </w:tcPr>
          <w:p w14:paraId="60406C5B"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Open</w:t>
            </w:r>
          </w:p>
        </w:tc>
      </w:tr>
      <w:tr w:rsidR="00744FBE" w:rsidRPr="00744FBE" w14:paraId="0F590FA2" w14:textId="77777777" w:rsidTr="00744FBE">
        <w:trPr>
          <w:jc w:val="center"/>
        </w:trPr>
        <w:tc>
          <w:tcPr>
            <w:tcW w:w="0" w:type="auto"/>
            <w:tcBorders>
              <w:bottom w:val="nil"/>
              <w:right w:val="nil"/>
            </w:tcBorders>
            <w:shd w:val="clear" w:color="auto" w:fill="FFFFFF"/>
            <w:tcMar>
              <w:top w:w="45" w:type="dxa"/>
              <w:left w:w="45" w:type="dxa"/>
              <w:bottom w:w="45" w:type="dxa"/>
              <w:right w:w="45" w:type="dxa"/>
            </w:tcMar>
            <w:hideMark/>
          </w:tcPr>
          <w:p w14:paraId="190B5B48" w14:textId="77777777" w:rsidR="00744FBE" w:rsidRPr="00744FBE" w:rsidRDefault="00744FBE" w:rsidP="00744FBE">
            <w:pPr>
              <w:rPr>
                <w:rFonts w:asciiTheme="minorHAnsi" w:hAnsiTheme="minorHAnsi" w:cstheme="minorHAnsi"/>
              </w:rPr>
            </w:pPr>
            <w:hyperlink r:id="rId13" w:tooltip="Fort Mackinac Post Cemetery" w:history="1">
              <w:r w:rsidRPr="00744FBE">
                <w:rPr>
                  <w:rStyle w:val="Hyperlink"/>
                  <w:rFonts w:asciiTheme="minorHAnsi" w:hAnsiTheme="minorHAnsi" w:cstheme="minorHAnsi"/>
                </w:rPr>
                <w:t>Fort Mackinac Post Cemetery</w:t>
              </w:r>
            </w:hyperlink>
          </w:p>
        </w:tc>
        <w:tc>
          <w:tcPr>
            <w:tcW w:w="0" w:type="auto"/>
            <w:tcBorders>
              <w:bottom w:val="nil"/>
              <w:right w:val="nil"/>
            </w:tcBorders>
            <w:shd w:val="clear" w:color="auto" w:fill="FFFFFF"/>
            <w:noWrap/>
            <w:tcMar>
              <w:top w:w="45" w:type="dxa"/>
              <w:left w:w="45" w:type="dxa"/>
              <w:bottom w:w="45" w:type="dxa"/>
              <w:right w:w="45" w:type="dxa"/>
            </w:tcMar>
            <w:hideMark/>
          </w:tcPr>
          <w:p w14:paraId="63B98E6E"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Mackinac State Park</w:t>
            </w:r>
            <w:r w:rsidRPr="00744FBE">
              <w:rPr>
                <w:rFonts w:asciiTheme="minorHAnsi" w:hAnsiTheme="minorHAnsi" w:cstheme="minorHAnsi"/>
              </w:rPr>
              <w:br/>
              <w:t xml:space="preserve">Mackinac Island, MI 49757 </w:t>
            </w:r>
          </w:p>
        </w:tc>
        <w:tc>
          <w:tcPr>
            <w:tcW w:w="0" w:type="auto"/>
            <w:tcBorders>
              <w:bottom w:val="nil"/>
              <w:right w:val="nil"/>
            </w:tcBorders>
            <w:shd w:val="clear" w:color="auto" w:fill="FFFFFF"/>
            <w:tcMar>
              <w:top w:w="45" w:type="dxa"/>
              <w:left w:w="45" w:type="dxa"/>
              <w:bottom w:w="45" w:type="dxa"/>
              <w:right w:w="45" w:type="dxa"/>
            </w:tcMar>
            <w:hideMark/>
          </w:tcPr>
          <w:p w14:paraId="6099F16B"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Phone: 248-328-0386</w:t>
            </w:r>
            <w:r w:rsidRPr="00744FBE">
              <w:rPr>
                <w:rFonts w:asciiTheme="minorHAnsi" w:hAnsiTheme="minorHAnsi" w:cstheme="minorHAnsi"/>
              </w:rPr>
              <w:br/>
              <w:t xml:space="preserve">FAX: 248-328-0612 </w:t>
            </w:r>
          </w:p>
        </w:tc>
        <w:tc>
          <w:tcPr>
            <w:tcW w:w="0" w:type="auto"/>
            <w:tcBorders>
              <w:bottom w:val="nil"/>
              <w:right w:val="nil"/>
            </w:tcBorders>
            <w:shd w:val="clear" w:color="auto" w:fill="FFFFFF"/>
            <w:tcMar>
              <w:top w:w="45" w:type="dxa"/>
              <w:left w:w="45" w:type="dxa"/>
              <w:bottom w:w="45" w:type="dxa"/>
              <w:right w:w="45" w:type="dxa"/>
            </w:tcMar>
            <w:hideMark/>
          </w:tcPr>
          <w:p w14:paraId="0CCF7F73"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Closed</w:t>
            </w:r>
          </w:p>
        </w:tc>
      </w:tr>
      <w:tr w:rsidR="00744FBE" w:rsidRPr="00744FBE" w14:paraId="7F6F5152" w14:textId="77777777" w:rsidTr="00744FBE">
        <w:trPr>
          <w:jc w:val="center"/>
        </w:trPr>
        <w:tc>
          <w:tcPr>
            <w:tcW w:w="0" w:type="auto"/>
            <w:tcBorders>
              <w:bottom w:val="nil"/>
              <w:right w:val="nil"/>
            </w:tcBorders>
            <w:shd w:val="clear" w:color="auto" w:fill="FFFFFF"/>
            <w:tcMar>
              <w:top w:w="45" w:type="dxa"/>
              <w:left w:w="45" w:type="dxa"/>
              <w:bottom w:w="45" w:type="dxa"/>
              <w:right w:w="45" w:type="dxa"/>
            </w:tcMar>
            <w:hideMark/>
          </w:tcPr>
          <w:p w14:paraId="66B97DCF" w14:textId="77777777" w:rsidR="00744FBE" w:rsidRPr="00744FBE" w:rsidRDefault="00744FBE" w:rsidP="00744FBE">
            <w:pPr>
              <w:rPr>
                <w:rFonts w:asciiTheme="minorHAnsi" w:hAnsiTheme="minorHAnsi" w:cstheme="minorHAnsi"/>
              </w:rPr>
            </w:pPr>
            <w:hyperlink r:id="rId14" w:tooltip="Lakeside Cemetery Soldiers' Lot" w:history="1">
              <w:r w:rsidRPr="00744FBE">
                <w:rPr>
                  <w:rStyle w:val="Hyperlink"/>
                  <w:rFonts w:asciiTheme="minorHAnsi" w:hAnsiTheme="minorHAnsi" w:cstheme="minorHAnsi"/>
                </w:rPr>
                <w:t>Lakeside Cemetery Soldiers' Lot</w:t>
              </w:r>
            </w:hyperlink>
          </w:p>
        </w:tc>
        <w:tc>
          <w:tcPr>
            <w:tcW w:w="0" w:type="auto"/>
            <w:tcBorders>
              <w:bottom w:val="nil"/>
              <w:right w:val="nil"/>
            </w:tcBorders>
            <w:shd w:val="clear" w:color="auto" w:fill="FFFFFF"/>
            <w:noWrap/>
            <w:tcMar>
              <w:top w:w="45" w:type="dxa"/>
              <w:left w:w="45" w:type="dxa"/>
              <w:bottom w:w="45" w:type="dxa"/>
              <w:right w:w="45" w:type="dxa"/>
            </w:tcMar>
            <w:hideMark/>
          </w:tcPr>
          <w:p w14:paraId="751C64BC"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3781 Gratiot Street</w:t>
            </w:r>
            <w:r w:rsidRPr="00744FBE">
              <w:rPr>
                <w:rFonts w:asciiTheme="minorHAnsi" w:hAnsiTheme="minorHAnsi" w:cstheme="minorHAnsi"/>
              </w:rPr>
              <w:br/>
              <w:t xml:space="preserve">Port Huron, MI 48060 </w:t>
            </w:r>
          </w:p>
        </w:tc>
        <w:tc>
          <w:tcPr>
            <w:tcW w:w="0" w:type="auto"/>
            <w:tcBorders>
              <w:bottom w:val="nil"/>
              <w:right w:val="nil"/>
            </w:tcBorders>
            <w:shd w:val="clear" w:color="auto" w:fill="FFFFFF"/>
            <w:tcMar>
              <w:top w:w="45" w:type="dxa"/>
              <w:left w:w="45" w:type="dxa"/>
              <w:bottom w:w="45" w:type="dxa"/>
              <w:right w:w="45" w:type="dxa"/>
            </w:tcMar>
            <w:hideMark/>
          </w:tcPr>
          <w:p w14:paraId="5D5167C5"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Phone: 248-328-0386</w:t>
            </w:r>
            <w:r w:rsidRPr="00744FBE">
              <w:rPr>
                <w:rFonts w:asciiTheme="minorHAnsi" w:hAnsiTheme="minorHAnsi" w:cstheme="minorHAnsi"/>
              </w:rPr>
              <w:br/>
              <w:t xml:space="preserve">FAX: 248-328-0612 </w:t>
            </w:r>
          </w:p>
        </w:tc>
        <w:tc>
          <w:tcPr>
            <w:tcW w:w="0" w:type="auto"/>
            <w:tcBorders>
              <w:bottom w:val="nil"/>
              <w:right w:val="nil"/>
            </w:tcBorders>
            <w:shd w:val="clear" w:color="auto" w:fill="FFFFFF"/>
            <w:tcMar>
              <w:top w:w="45" w:type="dxa"/>
              <w:left w:w="45" w:type="dxa"/>
              <w:bottom w:w="45" w:type="dxa"/>
              <w:right w:w="45" w:type="dxa"/>
            </w:tcMar>
            <w:hideMark/>
          </w:tcPr>
          <w:p w14:paraId="1706EAED" w14:textId="77777777" w:rsidR="00744FBE" w:rsidRPr="00744FBE" w:rsidRDefault="00744FBE" w:rsidP="00744FBE">
            <w:pPr>
              <w:rPr>
                <w:rFonts w:asciiTheme="minorHAnsi" w:hAnsiTheme="minorHAnsi" w:cstheme="minorHAnsi"/>
              </w:rPr>
            </w:pPr>
            <w:r w:rsidRPr="00744FBE">
              <w:rPr>
                <w:rFonts w:asciiTheme="minorHAnsi" w:hAnsiTheme="minorHAnsi" w:cstheme="minorHAnsi"/>
              </w:rPr>
              <w:t>Closed</w:t>
            </w:r>
          </w:p>
        </w:tc>
      </w:tr>
    </w:tbl>
    <w:p w14:paraId="6257F3B7" w14:textId="77777777" w:rsidR="000E3A4D" w:rsidRPr="00DD70BA" w:rsidRDefault="000E3A4D" w:rsidP="000E3A4D">
      <w:pPr>
        <w:rPr>
          <w:rFonts w:asciiTheme="minorHAnsi" w:hAnsiTheme="minorHAnsi" w:cstheme="minorHAnsi"/>
        </w:rPr>
      </w:pPr>
    </w:p>
    <w:p w14:paraId="2AA26F12" w14:textId="0D4576E8" w:rsidR="00744FBE" w:rsidRPr="00744FBE" w:rsidRDefault="00744FBE" w:rsidP="00CA66CD">
      <w:pPr>
        <w:ind w:left="2160" w:firstLine="720"/>
        <w:rPr>
          <w:rFonts w:asciiTheme="minorHAnsi" w:hAnsiTheme="minorHAnsi" w:cstheme="minorHAnsi"/>
          <w:b/>
          <w:color w:val="323A45"/>
          <w:sz w:val="24"/>
          <w:szCs w:val="24"/>
          <w:u w:val="single"/>
        </w:rPr>
      </w:pPr>
      <w:r w:rsidRPr="008B1E55">
        <w:rPr>
          <w:rFonts w:asciiTheme="minorHAnsi" w:hAnsiTheme="minorHAnsi" w:cstheme="minorHAnsi"/>
          <w:b/>
          <w:color w:val="323A45"/>
          <w:sz w:val="24"/>
          <w:szCs w:val="24"/>
          <w:u w:val="single"/>
        </w:rPr>
        <w:t>To s</w:t>
      </w:r>
      <w:r w:rsidRPr="00744FBE">
        <w:rPr>
          <w:rFonts w:asciiTheme="minorHAnsi" w:hAnsiTheme="minorHAnsi" w:cstheme="minorHAnsi"/>
          <w:b/>
          <w:color w:val="323A45"/>
          <w:sz w:val="24"/>
          <w:szCs w:val="24"/>
          <w:u w:val="single"/>
        </w:rPr>
        <w:t>chedule a Burial</w:t>
      </w:r>
    </w:p>
    <w:p w14:paraId="7356314E" w14:textId="3FAF5A30"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color w:val="323A45"/>
          <w:sz w:val="24"/>
          <w:szCs w:val="24"/>
        </w:rPr>
        <w:t>Gravesites in Department of Veterans Affairs (VA) national cemeteries cannot be reserved in advance.</w:t>
      </w:r>
      <w:r w:rsidR="001313D5">
        <w:rPr>
          <w:rFonts w:asciiTheme="minorHAnsi" w:hAnsiTheme="minorHAnsi" w:cstheme="minorHAnsi"/>
          <w:color w:val="323A45"/>
          <w:sz w:val="24"/>
          <w:szCs w:val="24"/>
        </w:rPr>
        <w:t xml:space="preserve"> </w:t>
      </w:r>
      <w:r w:rsidRPr="00744FBE">
        <w:rPr>
          <w:rFonts w:asciiTheme="minorHAnsi" w:hAnsiTheme="minorHAnsi" w:cstheme="minorHAnsi"/>
          <w:color w:val="323A45"/>
          <w:sz w:val="24"/>
          <w:szCs w:val="24"/>
        </w:rPr>
        <w:t xml:space="preserve">You should advise your family of your wishes and where your </w:t>
      </w:r>
      <w:hyperlink r:id="rId15" w:tooltip="discharge papers" w:history="1">
        <w:r w:rsidRPr="00744FBE">
          <w:rPr>
            <w:rStyle w:val="Hyperlink"/>
            <w:rFonts w:asciiTheme="minorHAnsi" w:hAnsiTheme="minorHAnsi" w:cstheme="minorHAnsi"/>
            <w:sz w:val="24"/>
            <w:szCs w:val="24"/>
          </w:rPr>
          <w:t>discharge papers</w:t>
        </w:r>
      </w:hyperlink>
      <w:r w:rsidRPr="00744FBE">
        <w:rPr>
          <w:rFonts w:asciiTheme="minorHAnsi" w:hAnsiTheme="minorHAnsi" w:cstheme="minorHAnsi"/>
          <w:color w:val="323A45"/>
          <w:sz w:val="24"/>
          <w:szCs w:val="24"/>
        </w:rPr>
        <w:t xml:space="preserve">* are </w:t>
      </w:r>
      <w:r w:rsidRPr="00744FBE">
        <w:rPr>
          <w:rFonts w:asciiTheme="minorHAnsi" w:hAnsiTheme="minorHAnsi" w:cstheme="minorHAnsi"/>
          <w:color w:val="323A45"/>
          <w:sz w:val="24"/>
          <w:szCs w:val="24"/>
        </w:rPr>
        <w:lastRenderedPageBreak/>
        <w:t xml:space="preserve">kept. These papers are very important in establishing your eligibility. Upon request, VA will make eligibility determinations for burial in a VA national cemetery </w:t>
      </w:r>
      <w:hyperlink r:id="rId16" w:history="1">
        <w:r w:rsidRPr="00744FBE">
          <w:rPr>
            <w:rStyle w:val="Hyperlink"/>
            <w:rFonts w:asciiTheme="minorHAnsi" w:hAnsiTheme="minorHAnsi" w:cstheme="minorHAnsi"/>
            <w:sz w:val="24"/>
            <w:szCs w:val="24"/>
          </w:rPr>
          <w:t>in advance of need</w:t>
        </w:r>
      </w:hyperlink>
      <w:r w:rsidRPr="00744FBE">
        <w:rPr>
          <w:rFonts w:asciiTheme="minorHAnsi" w:hAnsiTheme="minorHAnsi" w:cstheme="minorHAnsi"/>
          <w:color w:val="323A45"/>
          <w:sz w:val="24"/>
          <w:szCs w:val="24"/>
        </w:rPr>
        <w:t>.</w:t>
      </w:r>
    </w:p>
    <w:p w14:paraId="4CAE816F"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color w:val="323A45"/>
          <w:sz w:val="24"/>
          <w:szCs w:val="24"/>
        </w:rPr>
        <w:t>At the time of need your family would contact a funeral home who will assist them with making burial arrangements at the national cemetery. You may wish to make pre-need arrangements with a funeral home.</w:t>
      </w:r>
    </w:p>
    <w:p w14:paraId="7635129B" w14:textId="77777777" w:rsidR="001313D5" w:rsidRDefault="001313D5" w:rsidP="00744FBE">
      <w:pPr>
        <w:rPr>
          <w:rFonts w:asciiTheme="minorHAnsi" w:hAnsiTheme="minorHAnsi" w:cstheme="minorHAnsi"/>
          <w:color w:val="323A45"/>
          <w:sz w:val="24"/>
          <w:szCs w:val="24"/>
        </w:rPr>
      </w:pPr>
    </w:p>
    <w:p w14:paraId="5DA86227" w14:textId="14C57563"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color w:val="323A45"/>
          <w:sz w:val="24"/>
          <w:szCs w:val="24"/>
        </w:rPr>
        <w:t>To schedule a burial in all Department of Veterans Affairs National Cemeteries, please contact the National Cemetery Scheduling Office by following the instructions listed below:</w:t>
      </w:r>
    </w:p>
    <w:p w14:paraId="417942C1" w14:textId="77777777" w:rsidR="001313D5" w:rsidRDefault="001313D5" w:rsidP="00744FBE">
      <w:pPr>
        <w:rPr>
          <w:rFonts w:asciiTheme="minorHAnsi" w:hAnsiTheme="minorHAnsi" w:cstheme="minorHAnsi"/>
          <w:color w:val="323A45"/>
          <w:sz w:val="24"/>
          <w:szCs w:val="24"/>
        </w:rPr>
      </w:pPr>
    </w:p>
    <w:p w14:paraId="1FCA626A" w14:textId="6D17B4A0" w:rsidR="00744FBE" w:rsidRPr="00744FBE" w:rsidRDefault="00744FBE" w:rsidP="00CA66CD">
      <w:pPr>
        <w:ind w:left="720" w:firstLine="720"/>
        <w:rPr>
          <w:rFonts w:asciiTheme="minorHAnsi" w:hAnsiTheme="minorHAnsi" w:cstheme="minorHAnsi"/>
          <w:b/>
          <w:color w:val="323A45"/>
          <w:sz w:val="24"/>
          <w:szCs w:val="24"/>
          <w:u w:val="single"/>
        </w:rPr>
      </w:pPr>
      <w:r w:rsidRPr="00744FBE">
        <w:rPr>
          <w:rFonts w:asciiTheme="minorHAnsi" w:hAnsiTheme="minorHAnsi" w:cstheme="minorHAnsi"/>
          <w:b/>
          <w:color w:val="323A45"/>
          <w:sz w:val="24"/>
          <w:szCs w:val="24"/>
          <w:u w:val="single"/>
        </w:rPr>
        <w:t>Step 1: Submit Eligibility Documentation</w:t>
      </w:r>
    </w:p>
    <w:tbl>
      <w:tblPr>
        <w:tblpPr w:leftFromText="45" w:rightFromText="45" w:bottomFromText="300" w:vertAnchor="text" w:tblpXSpec="right" w:tblpYSpec="center"/>
        <w:tblW w:w="3600" w:type="dxa"/>
        <w:tblBorders>
          <w:top w:val="single" w:sz="12" w:space="0" w:color="A3A3A3"/>
          <w:left w:val="single" w:sz="12" w:space="0" w:color="A3A3A3"/>
          <w:bottom w:val="single" w:sz="12" w:space="0" w:color="A3A3A3"/>
          <w:right w:val="single" w:sz="12" w:space="0" w:color="A3A3A3"/>
        </w:tblBorders>
        <w:shd w:val="clear" w:color="auto" w:fill="3B77C3"/>
        <w:tblCellMar>
          <w:top w:w="15" w:type="dxa"/>
          <w:left w:w="15" w:type="dxa"/>
          <w:bottom w:w="15" w:type="dxa"/>
          <w:right w:w="15" w:type="dxa"/>
        </w:tblCellMar>
        <w:tblLook w:val="04A0" w:firstRow="1" w:lastRow="0" w:firstColumn="1" w:lastColumn="0" w:noHBand="0" w:noVBand="1"/>
      </w:tblPr>
      <w:tblGrid>
        <w:gridCol w:w="3600"/>
      </w:tblGrid>
      <w:tr w:rsidR="00744FBE" w:rsidRPr="00744FBE" w14:paraId="318361C1" w14:textId="77777777" w:rsidTr="00744FBE">
        <w:tc>
          <w:tcPr>
            <w:tcW w:w="0" w:type="auto"/>
            <w:tcBorders>
              <w:top w:val="outset" w:sz="6" w:space="0" w:color="auto"/>
              <w:left w:val="outset" w:sz="6" w:space="0" w:color="auto"/>
              <w:bottom w:val="nil"/>
              <w:right w:val="nil"/>
            </w:tcBorders>
            <w:shd w:val="clear" w:color="auto" w:fill="3B77C3"/>
            <w:tcMar>
              <w:top w:w="45" w:type="dxa"/>
              <w:left w:w="45" w:type="dxa"/>
              <w:bottom w:w="45" w:type="dxa"/>
              <w:right w:w="45" w:type="dxa"/>
            </w:tcMar>
            <w:vAlign w:val="center"/>
            <w:hideMark/>
          </w:tcPr>
          <w:p w14:paraId="322E33BB"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b/>
                <w:bCs/>
                <w:color w:val="323A45"/>
                <w:sz w:val="24"/>
                <w:szCs w:val="24"/>
              </w:rPr>
              <w:t>Step 1: Fax to 1-866-900-6417 or Scan and Email to NCA.Scheduling@va.gov</w:t>
            </w:r>
          </w:p>
        </w:tc>
      </w:tr>
    </w:tbl>
    <w:p w14:paraId="1849F445"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b/>
          <w:bCs/>
          <w:color w:val="323A45"/>
          <w:sz w:val="24"/>
          <w:szCs w:val="24"/>
        </w:rPr>
        <w:t xml:space="preserve">Fax Eligibility Documentation to 1-866-900-6417 or Scan and Email to </w:t>
      </w:r>
      <w:hyperlink r:id="rId17" w:history="1">
        <w:r w:rsidRPr="00744FBE">
          <w:rPr>
            <w:rStyle w:val="Hyperlink"/>
            <w:rFonts w:asciiTheme="minorHAnsi" w:hAnsiTheme="minorHAnsi" w:cstheme="minorHAnsi"/>
            <w:b/>
            <w:bCs/>
            <w:sz w:val="24"/>
            <w:szCs w:val="24"/>
          </w:rPr>
          <w:t>NCA.Scheduling@va.gov</w:t>
        </w:r>
      </w:hyperlink>
      <w:r w:rsidRPr="00744FBE">
        <w:rPr>
          <w:rFonts w:asciiTheme="minorHAnsi" w:hAnsiTheme="minorHAnsi" w:cstheme="minorHAnsi"/>
          <w:color w:val="323A45"/>
          <w:sz w:val="24"/>
          <w:szCs w:val="24"/>
        </w:rPr>
        <w:t>.</w:t>
      </w:r>
    </w:p>
    <w:p w14:paraId="682CB5A9"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color w:val="323A45"/>
          <w:sz w:val="24"/>
          <w:szCs w:val="24"/>
        </w:rPr>
        <w:t xml:space="preserve">It is important to have all eligibility documentation available prior to calling the Scheduling Office. Burial in a national cemetery is based on military service. A copy of an official </w:t>
      </w:r>
      <w:hyperlink r:id="rId18" w:tooltip="military discharge document" w:history="1">
        <w:r w:rsidRPr="00744FBE">
          <w:rPr>
            <w:rStyle w:val="Hyperlink"/>
            <w:rFonts w:asciiTheme="minorHAnsi" w:hAnsiTheme="minorHAnsi" w:cstheme="minorHAnsi"/>
            <w:sz w:val="24"/>
            <w:szCs w:val="24"/>
          </w:rPr>
          <w:t>military discharge document</w:t>
        </w:r>
      </w:hyperlink>
      <w:r w:rsidRPr="00744FBE">
        <w:rPr>
          <w:rFonts w:asciiTheme="minorHAnsi" w:hAnsiTheme="minorHAnsi" w:cstheme="minorHAnsi"/>
          <w:color w:val="323A45"/>
          <w:sz w:val="24"/>
          <w:szCs w:val="24"/>
        </w:rPr>
        <w:t xml:space="preserve"> bearing an official seal or other supporting documentation is usually sufficient to determine eligibility for burial. The document must show release from service was under conditions other than dishonorable. Discharge documentation is not usually needed for scheduling when a Veteran or eligible dependent is already interred in a national cemetery.</w:t>
      </w:r>
    </w:p>
    <w:p w14:paraId="1641EFE3"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b/>
          <w:bCs/>
          <w:color w:val="323A45"/>
          <w:sz w:val="24"/>
          <w:szCs w:val="24"/>
        </w:rPr>
        <w:t>If you have no eligibility documentation...</w:t>
      </w:r>
      <w:r w:rsidRPr="00744FBE">
        <w:rPr>
          <w:rFonts w:asciiTheme="minorHAnsi" w:hAnsiTheme="minorHAnsi" w:cstheme="minorHAnsi"/>
          <w:color w:val="323A45"/>
          <w:sz w:val="24"/>
          <w:szCs w:val="24"/>
        </w:rPr>
        <w:br/>
        <w:t>Scheduling Office agents will assist you with the verification process. Requests for eligibility determination when no military discharge documents are available may require 48 hours or more for verification. Scheduling Office personnel will contact you within 48 hours of the initial process with verification results or an explanation of the delay.</w:t>
      </w:r>
    </w:p>
    <w:p w14:paraId="583A48EF" w14:textId="77777777" w:rsidR="001313D5" w:rsidRDefault="001313D5" w:rsidP="00744FBE">
      <w:pPr>
        <w:rPr>
          <w:rFonts w:asciiTheme="minorHAnsi" w:hAnsiTheme="minorHAnsi" w:cstheme="minorHAnsi"/>
          <w:color w:val="323A45"/>
          <w:sz w:val="24"/>
          <w:szCs w:val="24"/>
        </w:rPr>
      </w:pPr>
    </w:p>
    <w:p w14:paraId="7A9C829F" w14:textId="6402BDDA" w:rsidR="00744FBE" w:rsidRPr="00744FBE" w:rsidRDefault="00744FBE" w:rsidP="00CA66CD">
      <w:pPr>
        <w:ind w:left="720" w:firstLine="720"/>
        <w:rPr>
          <w:rFonts w:asciiTheme="minorHAnsi" w:hAnsiTheme="minorHAnsi" w:cstheme="minorHAnsi"/>
          <w:b/>
          <w:color w:val="323A45"/>
          <w:sz w:val="24"/>
          <w:szCs w:val="24"/>
          <w:u w:val="single"/>
        </w:rPr>
      </w:pPr>
      <w:bookmarkStart w:id="0" w:name="_GoBack"/>
      <w:bookmarkEnd w:id="0"/>
      <w:r w:rsidRPr="00744FBE">
        <w:rPr>
          <w:rFonts w:asciiTheme="minorHAnsi" w:hAnsiTheme="minorHAnsi" w:cstheme="minorHAnsi"/>
          <w:b/>
          <w:color w:val="323A45"/>
          <w:sz w:val="24"/>
          <w:szCs w:val="24"/>
          <w:u w:val="single"/>
        </w:rPr>
        <w:t>Step 2: Call 1-800-535-1117</w:t>
      </w:r>
    </w:p>
    <w:tbl>
      <w:tblPr>
        <w:tblpPr w:leftFromText="45" w:rightFromText="45" w:bottomFromText="300" w:vertAnchor="text" w:tblpXSpec="right" w:tblpYSpec="center"/>
        <w:tblW w:w="3600" w:type="dxa"/>
        <w:tblBorders>
          <w:top w:val="single" w:sz="12" w:space="0" w:color="A3A3A3"/>
          <w:left w:val="single" w:sz="12" w:space="0" w:color="A3A3A3"/>
          <w:bottom w:val="single" w:sz="12" w:space="0" w:color="A3A3A3"/>
          <w:right w:val="single" w:sz="12" w:space="0" w:color="A3A3A3"/>
        </w:tblBorders>
        <w:shd w:val="clear" w:color="auto" w:fill="3B77C3"/>
        <w:tblCellMar>
          <w:top w:w="15" w:type="dxa"/>
          <w:left w:w="15" w:type="dxa"/>
          <w:bottom w:w="15" w:type="dxa"/>
          <w:right w:w="15" w:type="dxa"/>
        </w:tblCellMar>
        <w:tblLook w:val="04A0" w:firstRow="1" w:lastRow="0" w:firstColumn="1" w:lastColumn="0" w:noHBand="0" w:noVBand="1"/>
      </w:tblPr>
      <w:tblGrid>
        <w:gridCol w:w="3600"/>
      </w:tblGrid>
      <w:tr w:rsidR="00744FBE" w:rsidRPr="00744FBE" w14:paraId="3B98A74F" w14:textId="77777777" w:rsidTr="00744FBE">
        <w:tc>
          <w:tcPr>
            <w:tcW w:w="0" w:type="auto"/>
            <w:tcBorders>
              <w:top w:val="outset" w:sz="6" w:space="0" w:color="auto"/>
              <w:left w:val="outset" w:sz="6" w:space="0" w:color="auto"/>
              <w:bottom w:val="nil"/>
              <w:right w:val="nil"/>
            </w:tcBorders>
            <w:shd w:val="clear" w:color="auto" w:fill="3B77C3"/>
            <w:tcMar>
              <w:top w:w="45" w:type="dxa"/>
              <w:left w:w="45" w:type="dxa"/>
              <w:bottom w:w="45" w:type="dxa"/>
              <w:right w:w="45" w:type="dxa"/>
            </w:tcMar>
            <w:vAlign w:val="center"/>
            <w:hideMark/>
          </w:tcPr>
          <w:p w14:paraId="614BFF93"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b/>
                <w:bCs/>
                <w:color w:val="323A45"/>
                <w:sz w:val="24"/>
                <w:szCs w:val="24"/>
              </w:rPr>
              <w:t>Step 2: Call 1-800-535-1117</w:t>
            </w:r>
          </w:p>
        </w:tc>
      </w:tr>
    </w:tbl>
    <w:p w14:paraId="6A5753AB"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b/>
          <w:bCs/>
          <w:color w:val="323A45"/>
          <w:sz w:val="24"/>
          <w:szCs w:val="24"/>
        </w:rPr>
        <w:t>To assist you, please have the following information readily available:</w:t>
      </w:r>
    </w:p>
    <w:p w14:paraId="3331BC63"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Cemetery of choice</w:t>
      </w:r>
    </w:p>
    <w:p w14:paraId="1614DFB5"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First or subsequent burial (Veteran or dependent already buried)</w:t>
      </w:r>
    </w:p>
    <w:p w14:paraId="39D6F001"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If subsequent interment, who is already interred, section and site number (if known)</w:t>
      </w:r>
    </w:p>
    <w:p w14:paraId="05C23A9F"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Decedent's full name, gender, SSN, date of death, date of birth and relationship (Veteran or dependent)</w:t>
      </w:r>
    </w:p>
    <w:p w14:paraId="074F9A97"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Contact Info (funeral director's name as well as the name, address, and E-mail address of the funeral home)</w:t>
      </w:r>
    </w:p>
    <w:p w14:paraId="13EA4882"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Next of kin information (name, relationship to deceased, SSN, phone number, address)</w:t>
      </w:r>
    </w:p>
    <w:p w14:paraId="1DEC58CD"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Type of religious emblem for headstone (if known)</w:t>
      </w:r>
    </w:p>
    <w:p w14:paraId="0F178572"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Did the decedent reside within 75 miles of requested cemetery?</w:t>
      </w:r>
    </w:p>
    <w:p w14:paraId="14671925"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ZIP code of decedent at time of death</w:t>
      </w:r>
    </w:p>
    <w:p w14:paraId="523C52CB"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County of decedent at time of death</w:t>
      </w:r>
    </w:p>
    <w:p w14:paraId="6F4111FB"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Type of burial (casket or cremation)</w:t>
      </w:r>
    </w:p>
    <w:p w14:paraId="2E5BBB07"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Marital status of deceased (if Veteran is buried in a private cemetery, must provide documentation of marital status of spouse at time of death)</w:t>
      </w:r>
    </w:p>
    <w:p w14:paraId="1022C44D"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lastRenderedPageBreak/>
        <w:t>Casket size/liner size/urn size/urn vault size</w:t>
      </w:r>
    </w:p>
    <w:p w14:paraId="20D17FC3"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Is surviving spouse a Veteran?</w:t>
      </w:r>
    </w:p>
    <w:p w14:paraId="201F21C0"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Any disabled children for future interment (must provide name and date of birth). If requesting immediate interment (must provide marital status, doctor's statement stating type of illness, date of onset of illness and capability of self-support).</w:t>
      </w:r>
    </w:p>
    <w:p w14:paraId="655E8848" w14:textId="77777777" w:rsidR="00744FBE" w:rsidRPr="00744FBE" w:rsidRDefault="00744FBE" w:rsidP="00744FBE">
      <w:pPr>
        <w:numPr>
          <w:ilvl w:val="0"/>
          <w:numId w:val="6"/>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Military Honors requested</w:t>
      </w:r>
    </w:p>
    <w:p w14:paraId="39F4D5B0" w14:textId="77777777" w:rsidR="001313D5" w:rsidRDefault="001313D5" w:rsidP="00744FBE">
      <w:pPr>
        <w:rPr>
          <w:rFonts w:asciiTheme="minorHAnsi" w:hAnsiTheme="minorHAnsi" w:cstheme="minorHAnsi"/>
          <w:color w:val="323A45"/>
          <w:sz w:val="24"/>
          <w:szCs w:val="24"/>
        </w:rPr>
      </w:pPr>
    </w:p>
    <w:p w14:paraId="769F2192" w14:textId="4F0CD283" w:rsidR="00744FBE" w:rsidRPr="00744FBE" w:rsidRDefault="00744FBE" w:rsidP="00744FBE">
      <w:pPr>
        <w:rPr>
          <w:rFonts w:asciiTheme="minorHAnsi" w:hAnsiTheme="minorHAnsi" w:cstheme="minorHAnsi"/>
          <w:b/>
          <w:color w:val="323A45"/>
          <w:sz w:val="24"/>
          <w:szCs w:val="24"/>
          <w:u w:val="single"/>
        </w:rPr>
      </w:pPr>
      <w:r w:rsidRPr="00744FBE">
        <w:rPr>
          <w:rFonts w:asciiTheme="minorHAnsi" w:hAnsiTheme="minorHAnsi" w:cstheme="minorHAnsi"/>
          <w:b/>
          <w:color w:val="323A45"/>
          <w:sz w:val="24"/>
          <w:szCs w:val="24"/>
          <w:u w:val="single"/>
        </w:rPr>
        <w:t>Scheduling Office Hours</w:t>
      </w:r>
    </w:p>
    <w:p w14:paraId="51D7E210"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color w:val="323A45"/>
          <w:sz w:val="24"/>
          <w:szCs w:val="24"/>
        </w:rPr>
        <w:t>The National Cemetery Scheduling Office is open 7 days a week from 7 a.m. to 6:30 p.m. Central Time. The Scheduling Office is closed Thanksgiving Day, Christmas Day, and New Year’s Day. Interments at national cemeteries are conducted Monday thru Friday. When a federal holiday falls on a Monday or Friday, cemeteries will open for interments for one day over the holiday weekend as a service to Veterans and their families. The Scheduling Office will have the most current schedule of available interment times for each cemetery.</w:t>
      </w:r>
    </w:p>
    <w:p w14:paraId="79878883" w14:textId="77777777" w:rsidR="001313D5" w:rsidRDefault="001313D5" w:rsidP="00744FBE">
      <w:pPr>
        <w:rPr>
          <w:rFonts w:asciiTheme="minorHAnsi" w:hAnsiTheme="minorHAnsi" w:cstheme="minorHAnsi"/>
          <w:color w:val="323A45"/>
          <w:sz w:val="24"/>
          <w:szCs w:val="24"/>
        </w:rPr>
      </w:pPr>
    </w:p>
    <w:p w14:paraId="62085BBF" w14:textId="00B6A293" w:rsidR="00744FBE" w:rsidRPr="00744FBE" w:rsidRDefault="00744FBE" w:rsidP="00744FBE">
      <w:pPr>
        <w:rPr>
          <w:rFonts w:asciiTheme="minorHAnsi" w:hAnsiTheme="minorHAnsi" w:cstheme="minorHAnsi"/>
          <w:b/>
          <w:color w:val="323A45"/>
          <w:sz w:val="24"/>
          <w:szCs w:val="24"/>
          <w:u w:val="single"/>
        </w:rPr>
      </w:pPr>
      <w:r w:rsidRPr="00744FBE">
        <w:rPr>
          <w:rFonts w:asciiTheme="minorHAnsi" w:hAnsiTheme="minorHAnsi" w:cstheme="minorHAnsi"/>
          <w:b/>
          <w:color w:val="323A45"/>
          <w:sz w:val="24"/>
          <w:szCs w:val="24"/>
          <w:u w:val="single"/>
        </w:rPr>
        <w:t>When do I contact the National Cemetery directly?</w:t>
      </w:r>
    </w:p>
    <w:p w14:paraId="75B4A9B7"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color w:val="323A45"/>
          <w:sz w:val="24"/>
          <w:szCs w:val="24"/>
        </w:rPr>
        <w:t>There are instances when you should contact a </w:t>
      </w:r>
      <w:hyperlink r:id="rId19" w:history="1">
        <w:r w:rsidRPr="00744FBE">
          <w:rPr>
            <w:rStyle w:val="Hyperlink"/>
            <w:rFonts w:asciiTheme="minorHAnsi" w:hAnsiTheme="minorHAnsi" w:cstheme="minorHAnsi"/>
            <w:sz w:val="24"/>
            <w:szCs w:val="24"/>
          </w:rPr>
          <w:t>national cemetery</w:t>
        </w:r>
      </w:hyperlink>
      <w:r w:rsidRPr="00744FBE">
        <w:rPr>
          <w:rFonts w:asciiTheme="minorHAnsi" w:hAnsiTheme="minorHAnsi" w:cstheme="minorHAnsi"/>
          <w:color w:val="323A45"/>
          <w:sz w:val="24"/>
          <w:szCs w:val="24"/>
        </w:rPr>
        <w:t xml:space="preserve"> directly for scheduling support. They are:</w:t>
      </w:r>
    </w:p>
    <w:p w14:paraId="2EDFD0EF" w14:textId="77777777" w:rsidR="00744FBE" w:rsidRPr="00744FBE" w:rsidRDefault="00744FBE" w:rsidP="00744FBE">
      <w:pPr>
        <w:numPr>
          <w:ilvl w:val="0"/>
          <w:numId w:val="7"/>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Active duty interment scheduling</w:t>
      </w:r>
    </w:p>
    <w:p w14:paraId="5B5F399D" w14:textId="77777777" w:rsidR="00744FBE" w:rsidRPr="00744FBE" w:rsidRDefault="00744FBE" w:rsidP="00744FBE">
      <w:pPr>
        <w:numPr>
          <w:ilvl w:val="0"/>
          <w:numId w:val="7"/>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Interment cancellation or rescheduling</w:t>
      </w:r>
    </w:p>
    <w:p w14:paraId="6F321F3D" w14:textId="77777777" w:rsidR="00744FBE" w:rsidRPr="00744FBE" w:rsidRDefault="00744FBE" w:rsidP="00744FBE">
      <w:pPr>
        <w:numPr>
          <w:ilvl w:val="0"/>
          <w:numId w:val="7"/>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Change to information initially provided to Scheduling Office</w:t>
      </w:r>
    </w:p>
    <w:p w14:paraId="70E553E1" w14:textId="77777777" w:rsidR="00744FBE" w:rsidRPr="00744FBE" w:rsidRDefault="00744FBE" w:rsidP="00744FBE">
      <w:pPr>
        <w:numPr>
          <w:ilvl w:val="0"/>
          <w:numId w:val="7"/>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Request for disinterment and/or relocation to another national cemetery</w:t>
      </w:r>
    </w:p>
    <w:p w14:paraId="28CFCE29" w14:textId="77777777" w:rsidR="00744FBE" w:rsidRPr="00744FBE" w:rsidRDefault="00744FBE" w:rsidP="00744FBE">
      <w:pPr>
        <w:numPr>
          <w:ilvl w:val="0"/>
          <w:numId w:val="7"/>
        </w:numPr>
        <w:rPr>
          <w:rFonts w:asciiTheme="minorHAnsi" w:hAnsiTheme="minorHAnsi" w:cstheme="minorHAnsi"/>
          <w:color w:val="323A45"/>
          <w:sz w:val="24"/>
          <w:szCs w:val="24"/>
        </w:rPr>
      </w:pPr>
      <w:r w:rsidRPr="00744FBE">
        <w:rPr>
          <w:rFonts w:asciiTheme="minorHAnsi" w:hAnsiTheme="minorHAnsi" w:cstheme="minorHAnsi"/>
          <w:color w:val="323A45"/>
          <w:sz w:val="24"/>
          <w:szCs w:val="24"/>
        </w:rPr>
        <w:t>Information pertaining to headstones, floral policy, hours of operation or other items unique to that cemetery.</w:t>
      </w:r>
    </w:p>
    <w:p w14:paraId="4724B244" w14:textId="77777777" w:rsidR="00744FBE" w:rsidRPr="00744FBE" w:rsidRDefault="00744FBE" w:rsidP="00744FBE">
      <w:pPr>
        <w:rPr>
          <w:rFonts w:asciiTheme="minorHAnsi" w:hAnsiTheme="minorHAnsi" w:cstheme="minorHAnsi"/>
          <w:color w:val="323A45"/>
          <w:sz w:val="24"/>
          <w:szCs w:val="24"/>
        </w:rPr>
      </w:pPr>
      <w:r w:rsidRPr="00744FBE">
        <w:rPr>
          <w:rFonts w:asciiTheme="minorHAnsi" w:hAnsiTheme="minorHAnsi" w:cstheme="minorHAnsi"/>
          <w:i/>
          <w:iCs/>
          <w:color w:val="323A45"/>
          <w:sz w:val="24"/>
          <w:szCs w:val="24"/>
        </w:rPr>
        <w:t>Information gathered will only be used to determine eligibility and the National Cemetery Administration will, as needed, only disclose Personal Identifying Information to Department of Defense entities to determine eligibility for the coordination and conducting of interment honor ceremonies. The National Cemetery Administration will not give, sell or transfer any personal information outside the Department of Veterans Affairs and the Department of Defense.</w:t>
      </w:r>
    </w:p>
    <w:p w14:paraId="31617CF7" w14:textId="77777777" w:rsidR="00744FBE" w:rsidRDefault="00744FBE" w:rsidP="00BF349D">
      <w:pPr>
        <w:rPr>
          <w:rFonts w:asciiTheme="minorHAnsi" w:hAnsiTheme="minorHAnsi" w:cstheme="minorHAnsi"/>
          <w:color w:val="323A45"/>
          <w:sz w:val="24"/>
          <w:szCs w:val="24"/>
        </w:rPr>
      </w:pPr>
    </w:p>
    <w:p w14:paraId="20D48960" w14:textId="77777777" w:rsidR="00744FBE" w:rsidRDefault="00744FBE" w:rsidP="00BF349D">
      <w:pPr>
        <w:rPr>
          <w:rFonts w:asciiTheme="minorHAnsi" w:hAnsiTheme="minorHAnsi" w:cstheme="minorHAnsi"/>
          <w:color w:val="323A45"/>
          <w:sz w:val="24"/>
          <w:szCs w:val="24"/>
        </w:rPr>
      </w:pPr>
    </w:p>
    <w:p w14:paraId="5ECB343F" w14:textId="0403CCCD" w:rsidR="00BF349D" w:rsidRPr="00DD70BA" w:rsidRDefault="000E3A4D" w:rsidP="00BF349D">
      <w:pPr>
        <w:rPr>
          <w:rFonts w:asciiTheme="minorHAnsi" w:hAnsiTheme="minorHAnsi" w:cstheme="minorHAnsi"/>
          <w:color w:val="323A45"/>
          <w:sz w:val="24"/>
          <w:szCs w:val="24"/>
        </w:rPr>
      </w:pPr>
      <w:r w:rsidRPr="00DD70BA">
        <w:rPr>
          <w:rFonts w:asciiTheme="minorHAnsi" w:hAnsiTheme="minorHAnsi" w:cstheme="minorHAnsi"/>
          <w:color w:val="323A45"/>
          <w:sz w:val="24"/>
          <w:szCs w:val="24"/>
        </w:rPr>
        <w:t xml:space="preserve"> </w:t>
      </w:r>
      <w:r w:rsidRPr="00DD70BA">
        <w:rPr>
          <w:rFonts w:asciiTheme="minorHAnsi" w:hAnsiTheme="minorHAnsi" w:cstheme="minorHAnsi"/>
          <w:b/>
          <w:color w:val="323A45"/>
          <w:sz w:val="24"/>
          <w:szCs w:val="24"/>
          <w:u w:val="single"/>
        </w:rPr>
        <w:t>POCs:</w:t>
      </w:r>
      <w:r w:rsidRPr="00DD70BA">
        <w:rPr>
          <w:rFonts w:asciiTheme="minorHAnsi" w:hAnsiTheme="minorHAnsi" w:cstheme="minorHAnsi"/>
          <w:color w:val="323A45"/>
          <w:sz w:val="24"/>
          <w:szCs w:val="24"/>
        </w:rPr>
        <w:t xml:space="preserve"> </w:t>
      </w:r>
      <w:r w:rsidR="000474D7">
        <w:rPr>
          <w:rFonts w:asciiTheme="minorHAnsi" w:hAnsiTheme="minorHAnsi" w:cstheme="minorHAnsi"/>
          <w:color w:val="323A45"/>
          <w:sz w:val="24"/>
          <w:szCs w:val="24"/>
        </w:rPr>
        <w:t>NA</w:t>
      </w:r>
    </w:p>
    <w:p w14:paraId="34A04581" w14:textId="77777777" w:rsidR="00BF349D" w:rsidRPr="00DD70BA" w:rsidRDefault="00BF349D" w:rsidP="00BF349D">
      <w:pPr>
        <w:rPr>
          <w:rFonts w:asciiTheme="minorHAnsi" w:hAnsiTheme="minorHAnsi" w:cstheme="minorHAnsi"/>
          <w:color w:val="323A45"/>
          <w:sz w:val="24"/>
          <w:szCs w:val="24"/>
        </w:rPr>
      </w:pPr>
    </w:p>
    <w:sectPr w:rsidR="00BF349D" w:rsidRPr="00DD70B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18121" w14:textId="77777777" w:rsidR="00007FFB" w:rsidRDefault="00007FFB" w:rsidP="0009402F">
      <w:r>
        <w:separator/>
      </w:r>
    </w:p>
  </w:endnote>
  <w:endnote w:type="continuationSeparator" w:id="0">
    <w:p w14:paraId="2C5B109C" w14:textId="77777777" w:rsidR="00007FFB" w:rsidRDefault="00007FFB" w:rsidP="000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FA7AF" w14:textId="77777777" w:rsidR="00007FFB" w:rsidRDefault="00007FFB" w:rsidP="0009402F">
      <w:r>
        <w:separator/>
      </w:r>
    </w:p>
  </w:footnote>
  <w:footnote w:type="continuationSeparator" w:id="0">
    <w:p w14:paraId="5BB0B908" w14:textId="77777777" w:rsidR="00007FFB" w:rsidRDefault="00007FFB" w:rsidP="0009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EEC0" w14:textId="2DB69F2C" w:rsidR="0009402F" w:rsidRDefault="00FC2CF5">
    <w:pPr>
      <w:pStyle w:val="Header"/>
    </w:pPr>
    <w:r>
      <w:t>14 Mar</w:t>
    </w:r>
    <w:r w:rsidR="00BB6BEF">
      <w:t xml:space="preserve">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B7BC5"/>
    <w:multiLevelType w:val="multilevel"/>
    <w:tmpl w:val="06B0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C18B0"/>
    <w:multiLevelType w:val="multilevel"/>
    <w:tmpl w:val="8336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F649B"/>
    <w:multiLevelType w:val="multilevel"/>
    <w:tmpl w:val="CA3C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07FFB"/>
    <w:rsid w:val="000474D7"/>
    <w:rsid w:val="0009402F"/>
    <w:rsid w:val="000E3A4D"/>
    <w:rsid w:val="00103C27"/>
    <w:rsid w:val="001313D5"/>
    <w:rsid w:val="001815F6"/>
    <w:rsid w:val="002805AE"/>
    <w:rsid w:val="002D3BEB"/>
    <w:rsid w:val="0037493D"/>
    <w:rsid w:val="003E745A"/>
    <w:rsid w:val="0057287E"/>
    <w:rsid w:val="00744FBE"/>
    <w:rsid w:val="0077084F"/>
    <w:rsid w:val="008B1E55"/>
    <w:rsid w:val="008B717B"/>
    <w:rsid w:val="008D7FBF"/>
    <w:rsid w:val="009508FD"/>
    <w:rsid w:val="00B12BB2"/>
    <w:rsid w:val="00BB6BEF"/>
    <w:rsid w:val="00BD4337"/>
    <w:rsid w:val="00BF349D"/>
    <w:rsid w:val="00C109E6"/>
    <w:rsid w:val="00CA66CD"/>
    <w:rsid w:val="00D629C3"/>
    <w:rsid w:val="00D956D8"/>
    <w:rsid w:val="00DB0494"/>
    <w:rsid w:val="00DD70BA"/>
    <w:rsid w:val="00E83017"/>
    <w:rsid w:val="00FC2060"/>
    <w:rsid w:val="00FC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Header">
    <w:name w:val="header"/>
    <w:basedOn w:val="Normal"/>
    <w:link w:val="HeaderChar"/>
    <w:uiPriority w:val="99"/>
    <w:unhideWhenUsed/>
    <w:rsid w:val="0009402F"/>
    <w:pPr>
      <w:tabs>
        <w:tab w:val="center" w:pos="4680"/>
        <w:tab w:val="right" w:pos="9360"/>
      </w:tabs>
    </w:pPr>
  </w:style>
  <w:style w:type="character" w:customStyle="1" w:styleId="HeaderChar">
    <w:name w:val="Header Char"/>
    <w:basedOn w:val="DefaultParagraphFont"/>
    <w:link w:val="Header"/>
    <w:uiPriority w:val="99"/>
    <w:rsid w:val="0009402F"/>
    <w:rPr>
      <w:rFonts w:ascii="Calibri" w:hAnsi="Calibri" w:cs="Calibri"/>
    </w:rPr>
  </w:style>
  <w:style w:type="paragraph" w:styleId="Footer">
    <w:name w:val="footer"/>
    <w:basedOn w:val="Normal"/>
    <w:link w:val="FooterChar"/>
    <w:uiPriority w:val="99"/>
    <w:unhideWhenUsed/>
    <w:rsid w:val="0009402F"/>
    <w:pPr>
      <w:tabs>
        <w:tab w:val="center" w:pos="4680"/>
        <w:tab w:val="right" w:pos="9360"/>
      </w:tabs>
    </w:pPr>
  </w:style>
  <w:style w:type="character" w:customStyle="1" w:styleId="FooterChar">
    <w:name w:val="Footer Char"/>
    <w:basedOn w:val="DefaultParagraphFont"/>
    <w:link w:val="Footer"/>
    <w:uiPriority w:val="99"/>
    <w:rsid w:val="0009402F"/>
    <w:rPr>
      <w:rFonts w:ascii="Calibri" w:hAnsi="Calibri" w:cs="Calibri"/>
    </w:rPr>
  </w:style>
  <w:style w:type="paragraph" w:styleId="ListParagraph">
    <w:name w:val="List Paragraph"/>
    <w:basedOn w:val="Normal"/>
    <w:uiPriority w:val="34"/>
    <w:qFormat/>
    <w:rsid w:val="00047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07747">
      <w:bodyDiv w:val="1"/>
      <w:marLeft w:val="0"/>
      <w:marRight w:val="0"/>
      <w:marTop w:val="0"/>
      <w:marBottom w:val="0"/>
      <w:divBdr>
        <w:top w:val="none" w:sz="0" w:space="0" w:color="auto"/>
        <w:left w:val="none" w:sz="0" w:space="0" w:color="auto"/>
        <w:bottom w:val="none" w:sz="0" w:space="0" w:color="auto"/>
        <w:right w:val="none" w:sz="0" w:space="0" w:color="auto"/>
      </w:divBdr>
    </w:div>
    <w:div w:id="557323582">
      <w:bodyDiv w:val="1"/>
      <w:marLeft w:val="0"/>
      <w:marRight w:val="0"/>
      <w:marTop w:val="0"/>
      <w:marBottom w:val="0"/>
      <w:divBdr>
        <w:top w:val="none" w:sz="0" w:space="0" w:color="auto"/>
        <w:left w:val="none" w:sz="0" w:space="0" w:color="auto"/>
        <w:bottom w:val="none" w:sz="0" w:space="0" w:color="auto"/>
        <w:right w:val="none" w:sz="0" w:space="0" w:color="auto"/>
      </w:divBdr>
    </w:div>
    <w:div w:id="706877823">
      <w:bodyDiv w:val="1"/>
      <w:marLeft w:val="0"/>
      <w:marRight w:val="0"/>
      <w:marTop w:val="0"/>
      <w:marBottom w:val="0"/>
      <w:divBdr>
        <w:top w:val="none" w:sz="0" w:space="0" w:color="auto"/>
        <w:left w:val="none" w:sz="0" w:space="0" w:color="auto"/>
        <w:bottom w:val="none" w:sz="0" w:space="0" w:color="auto"/>
        <w:right w:val="none" w:sz="0" w:space="0" w:color="auto"/>
      </w:divBdr>
    </w:div>
    <w:div w:id="8281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m.va.gov/cem/index.asp" TargetMode="External"/><Relationship Id="rId13" Type="http://schemas.openxmlformats.org/officeDocument/2006/relationships/hyperlink" Target="https://www.cem.va.gov/cems/lots/fort_mackinac.asp" TargetMode="External"/><Relationship Id="rId18" Type="http://schemas.openxmlformats.org/officeDocument/2006/relationships/hyperlink" Target="https://www.cem.va.gov/CEM/hmm/discharge_documents.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em.va.gov/cem/grants/" TargetMode="External"/><Relationship Id="rId12" Type="http://schemas.openxmlformats.org/officeDocument/2006/relationships/hyperlink" Target="http://www.cem.va.gov/cems/nchp/greatlakes.asp" TargetMode="External"/><Relationship Id="rId17" Type="http://schemas.openxmlformats.org/officeDocument/2006/relationships/hyperlink" Target="mailto:NCA.Scheduling@va.gov" TargetMode="External"/><Relationship Id="rId2" Type="http://schemas.openxmlformats.org/officeDocument/2006/relationships/styles" Target="styles.xml"/><Relationship Id="rId16" Type="http://schemas.openxmlformats.org/officeDocument/2006/relationships/hyperlink" Target="https://www.cem.va.gov/cem/pre-nee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m.va.gov/cems/nchp/ftcuster.asp" TargetMode="External"/><Relationship Id="rId5" Type="http://schemas.openxmlformats.org/officeDocument/2006/relationships/footnotes" Target="footnotes.xml"/><Relationship Id="rId15" Type="http://schemas.openxmlformats.org/officeDocument/2006/relationships/hyperlink" Target="http://www.archives.gov/veterans/military-service-records/" TargetMode="External"/><Relationship Id="rId10" Type="http://schemas.openxmlformats.org/officeDocument/2006/relationships/hyperlink" Target="https://www.cem.va.gov/cems/state.asp?State=MI" TargetMode="External"/><Relationship Id="rId19" Type="http://schemas.openxmlformats.org/officeDocument/2006/relationships/hyperlink" Target="https://www.cem.va.gov/CEM/cems/listcem.asp" TargetMode="External"/><Relationship Id="rId4" Type="http://schemas.openxmlformats.org/officeDocument/2006/relationships/webSettings" Target="webSettings.xml"/><Relationship Id="rId9" Type="http://schemas.openxmlformats.org/officeDocument/2006/relationships/hyperlink" Target="https://www.cem.va.gov/cem/burial_benefits/eligible.asp" TargetMode="External"/><Relationship Id="rId14" Type="http://schemas.openxmlformats.org/officeDocument/2006/relationships/hyperlink" Target="https://www.cem.va.gov/cems/lots/lakeside.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5</cp:revision>
  <dcterms:created xsi:type="dcterms:W3CDTF">2019-03-14T15:38:00Z</dcterms:created>
  <dcterms:modified xsi:type="dcterms:W3CDTF">2019-03-14T16:36:00Z</dcterms:modified>
</cp:coreProperties>
</file>