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E4D5" w14:textId="773CDA52" w:rsidR="00BF349D" w:rsidRPr="00DD70BA" w:rsidRDefault="000E3A4D" w:rsidP="000E3A4D">
      <w:pPr>
        <w:jc w:val="center"/>
        <w:rPr>
          <w:rFonts w:asciiTheme="minorHAnsi" w:hAnsiTheme="minorHAnsi" w:cstheme="minorHAnsi"/>
          <w:b/>
          <w:color w:val="323A45"/>
          <w:sz w:val="28"/>
          <w:szCs w:val="28"/>
          <w:u w:val="single"/>
        </w:rPr>
      </w:pPr>
      <w:r w:rsidRPr="00DD70BA">
        <w:rPr>
          <w:rFonts w:asciiTheme="minorHAnsi" w:hAnsiTheme="minorHAnsi" w:cstheme="minorHAnsi"/>
          <w:b/>
          <w:color w:val="323A45"/>
          <w:sz w:val="28"/>
          <w:szCs w:val="28"/>
          <w:u w:val="single"/>
        </w:rPr>
        <w:t xml:space="preserve">How to Enroll in the </w:t>
      </w:r>
      <w:r w:rsidR="007B4A2F">
        <w:rPr>
          <w:rFonts w:asciiTheme="minorHAnsi" w:hAnsiTheme="minorHAnsi" w:cstheme="minorHAnsi"/>
          <w:b/>
          <w:color w:val="323A45"/>
          <w:sz w:val="28"/>
          <w:szCs w:val="28"/>
          <w:u w:val="single"/>
        </w:rPr>
        <w:t>Gulf War Registry</w:t>
      </w:r>
    </w:p>
    <w:p w14:paraId="7FA99C83" w14:textId="77777777" w:rsidR="00BF349D" w:rsidRPr="00DD70BA" w:rsidRDefault="00BF349D" w:rsidP="00BF349D">
      <w:pPr>
        <w:rPr>
          <w:rFonts w:asciiTheme="minorHAnsi" w:hAnsiTheme="minorHAnsi" w:cstheme="minorHAnsi"/>
          <w:color w:val="323A45"/>
        </w:rPr>
      </w:pPr>
    </w:p>
    <w:p w14:paraId="69CC208A" w14:textId="77777777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</w:pPr>
    </w:p>
    <w:p w14:paraId="16BF3C94" w14:textId="53719C1F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What: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Enrollment in </w:t>
      </w:r>
      <w:r w:rsidR="007B4A2F">
        <w:rPr>
          <w:rFonts w:asciiTheme="minorHAnsi" w:hAnsiTheme="minorHAnsi" w:cstheme="minorHAnsi"/>
          <w:b/>
          <w:color w:val="323A45"/>
          <w:sz w:val="24"/>
          <w:szCs w:val="24"/>
        </w:rPr>
        <w:t>the Gulf War Registry</w:t>
      </w:r>
    </w:p>
    <w:p w14:paraId="2438C842" w14:textId="31675016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</w:rPr>
      </w:pPr>
    </w:p>
    <w:p w14:paraId="6B39E407" w14:textId="08E26460" w:rsidR="002D3BEB" w:rsidRPr="00D33C98" w:rsidRDefault="001815F6" w:rsidP="007B4A2F">
      <w:pPr>
        <w:rPr>
          <w:rFonts w:asciiTheme="minorHAnsi" w:hAnsiTheme="minorHAnsi" w:cstheme="minorHAnsi"/>
          <w:color w:val="323A45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Service Officer Notes: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="00374A8F" w:rsidRPr="00D33C98">
        <w:rPr>
          <w:rFonts w:asciiTheme="minorHAnsi" w:hAnsiTheme="minorHAnsi" w:cstheme="minorHAnsi"/>
          <w:color w:val="323A45"/>
        </w:rPr>
        <w:t xml:space="preserve">Certain illnesses are associated with Gulf War service in the </w:t>
      </w:r>
      <w:hyperlink r:id="rId7" w:tooltip="Learn about illnesses associated with military service in the Gulf War." w:history="1">
        <w:r w:rsidR="00374A8F" w:rsidRPr="00D33C98">
          <w:rPr>
            <w:rStyle w:val="Hyperlink"/>
            <w:rFonts w:asciiTheme="minorHAnsi" w:hAnsiTheme="minorHAnsi" w:cstheme="minorHAnsi"/>
          </w:rPr>
          <w:t>Southwest Asia theater of military operations</w:t>
        </w:r>
      </w:hyperlink>
      <w:r w:rsidR="00374A8F" w:rsidRPr="00D33C98">
        <w:rPr>
          <w:rFonts w:asciiTheme="minorHAnsi" w:hAnsiTheme="minorHAnsi" w:cstheme="minorHAnsi"/>
          <w:color w:val="323A45"/>
        </w:rPr>
        <w:t xml:space="preserve"> from August 2, 1990 to present. </w:t>
      </w:r>
      <w:hyperlink r:id="rId8" w:tooltip="Medically unexplained illnesses" w:history="1">
        <w:r w:rsidR="00374A8F" w:rsidRPr="00D33C98">
          <w:rPr>
            <w:rStyle w:val="Hyperlink"/>
            <w:rFonts w:asciiTheme="minorHAnsi" w:hAnsiTheme="minorHAnsi" w:cstheme="minorHAnsi"/>
          </w:rPr>
          <w:t>Medically unexplained illnesses</w:t>
        </w:r>
      </w:hyperlink>
      <w:r w:rsidR="00374A8F" w:rsidRPr="00D33C98">
        <w:rPr>
          <w:rFonts w:asciiTheme="minorHAnsi" w:hAnsiTheme="minorHAnsi" w:cstheme="minorHAnsi"/>
          <w:color w:val="323A45"/>
        </w:rPr>
        <w:t xml:space="preserve"> (also commonly referred to as Gulf War illness or Chronic Multi-symptom illness) are a significant concern for some Veterans who served during the Gulf War.</w:t>
      </w:r>
      <w:r w:rsidR="00D33C98">
        <w:rPr>
          <w:rFonts w:asciiTheme="minorHAnsi" w:hAnsiTheme="minorHAnsi" w:cstheme="minorHAnsi"/>
          <w:color w:val="323A45"/>
        </w:rPr>
        <w:t xml:space="preserve"> </w:t>
      </w:r>
      <w:r w:rsidR="00374A8F" w:rsidRPr="00374A8F">
        <w:rPr>
          <w:rFonts w:asciiTheme="minorHAnsi" w:hAnsiTheme="minorHAnsi" w:cstheme="minorHAnsi"/>
          <w:color w:val="323A45"/>
        </w:rPr>
        <w:t xml:space="preserve">VA offers eligible Veterans a free </w:t>
      </w:r>
      <w:hyperlink r:id="rId9" w:tooltip="Learn about the free health exam VA offers to eligible Veterans of the Gulf War." w:history="1">
        <w:r w:rsidR="00374A8F" w:rsidRPr="00374A8F">
          <w:rPr>
            <w:rStyle w:val="Hyperlink"/>
            <w:rFonts w:asciiTheme="minorHAnsi" w:hAnsiTheme="minorHAnsi" w:cstheme="minorHAnsi"/>
          </w:rPr>
          <w:t>Gulf War Registry health exam</w:t>
        </w:r>
      </w:hyperlink>
      <w:r w:rsidR="00374A8F" w:rsidRPr="00374A8F">
        <w:rPr>
          <w:rFonts w:asciiTheme="minorHAnsi" w:hAnsiTheme="minorHAnsi" w:cstheme="minorHAnsi"/>
          <w:color w:val="323A45"/>
        </w:rPr>
        <w:t xml:space="preserve"> to find possible long-term health problems related to Gulf War service. </w:t>
      </w:r>
      <w:r w:rsidR="007B4A2F" w:rsidRPr="00D33C98">
        <w:rPr>
          <w:rFonts w:asciiTheme="minorHAnsi" w:hAnsiTheme="minorHAnsi" w:cstheme="minorHAnsi"/>
          <w:bCs/>
          <w:color w:val="323A45"/>
        </w:rPr>
        <w:t>VA’s Gulf War Registry Health Exam alert Veterans to possible long-term health problems that may be related to environmental exposures during their military service. The registry data helps VA understand and respond to these health problems more effectively.</w:t>
      </w:r>
    </w:p>
    <w:p w14:paraId="54195CF3" w14:textId="77777777" w:rsidR="002D3BEB" w:rsidRPr="00DD70BA" w:rsidRDefault="002D3BEB" w:rsidP="002D3BEB">
      <w:pPr>
        <w:rPr>
          <w:rFonts w:asciiTheme="minorHAnsi" w:hAnsiTheme="minorHAnsi" w:cstheme="minorHAnsi"/>
          <w:i/>
          <w:iCs/>
          <w:color w:val="323A45"/>
        </w:rPr>
      </w:pPr>
    </w:p>
    <w:p w14:paraId="728E9B90" w14:textId="77777777" w:rsidR="00F451F5" w:rsidRDefault="001815F6" w:rsidP="001815F6">
      <w:pPr>
        <w:rPr>
          <w:rFonts w:asciiTheme="minorHAnsi" w:hAnsiTheme="minorHAnsi" w:cstheme="minorHAnsi"/>
          <w:b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Web Sites: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</w:t>
      </w:r>
    </w:p>
    <w:p w14:paraId="74D335F1" w14:textId="0F286E18" w:rsidR="00F451F5" w:rsidRDefault="00FD2176" w:rsidP="001815F6">
      <w:pPr>
        <w:rPr>
          <w:rFonts w:asciiTheme="minorHAnsi" w:hAnsiTheme="minorHAnsi" w:cstheme="minorHAnsi"/>
          <w:b/>
          <w:color w:val="323A45"/>
          <w:sz w:val="24"/>
          <w:szCs w:val="24"/>
        </w:rPr>
      </w:pPr>
      <w:hyperlink r:id="rId10" w:history="1">
        <w:r w:rsidR="00F451F5" w:rsidRPr="00747C81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https://www.publichealth.va.gov/exposures/publications/gulf-war/gulf-war-spring-2015/gulf-war-registry.asp</w:t>
        </w:r>
      </w:hyperlink>
    </w:p>
    <w:p w14:paraId="7092CD0D" w14:textId="77777777" w:rsidR="00F451F5" w:rsidRDefault="00F451F5" w:rsidP="001815F6">
      <w:pPr>
        <w:rPr>
          <w:rFonts w:asciiTheme="minorHAnsi" w:hAnsiTheme="minorHAnsi" w:cstheme="minorHAnsi"/>
          <w:b/>
          <w:color w:val="323A45"/>
          <w:sz w:val="24"/>
          <w:szCs w:val="24"/>
        </w:rPr>
      </w:pPr>
    </w:p>
    <w:p w14:paraId="7E8CDA2E" w14:textId="63F2CDEF" w:rsidR="001815F6" w:rsidRPr="00DD70BA" w:rsidRDefault="001815F6" w:rsidP="001815F6">
      <w:pPr>
        <w:rPr>
          <w:rFonts w:asciiTheme="minorHAnsi" w:hAnsiTheme="minorHAnsi" w:cstheme="minorHAnsi"/>
          <w:b/>
          <w:bCs/>
          <w:color w:val="323A45"/>
          <w:sz w:val="24"/>
          <w:szCs w:val="24"/>
          <w:u w:val="single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</w:t>
      </w:r>
      <w:r w:rsidR="007B4A2F" w:rsidRPr="007B4A2F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https://www.publichealth.va.gov/exposures/gulfwar/benefits/registry-exam.asp</w:t>
      </w:r>
    </w:p>
    <w:p w14:paraId="01196A57" w14:textId="6A06980B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</w:pPr>
    </w:p>
    <w:p w14:paraId="3F47B64C" w14:textId="17613CA1" w:rsidR="007B4A2F" w:rsidRPr="007B4A2F" w:rsidRDefault="001815F6" w:rsidP="007B4A2F">
      <w:pPr>
        <w:rPr>
          <w:rFonts w:asciiTheme="minorHAnsi" w:hAnsiTheme="minorHAnsi" w:cstheme="minorHAnsi"/>
          <w:iCs/>
          <w:color w:val="323A45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Who Qualifies:</w:t>
      </w:r>
      <w:r w:rsidR="007B4A2F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="007B4A2F" w:rsidRPr="007B4A2F">
        <w:rPr>
          <w:rFonts w:asciiTheme="minorHAnsi" w:hAnsiTheme="minorHAnsi" w:cstheme="minorHAnsi"/>
          <w:iCs/>
          <w:color w:val="323A45"/>
        </w:rPr>
        <w:t>Veterans who served in the Gulf during Operation Desert Shield, Operation Desert Storm, Operation Iraqi Freedom, or Operation New Dawn are eligible for the Gulf War Registry exam.</w:t>
      </w:r>
    </w:p>
    <w:p w14:paraId="3D294951" w14:textId="77777777" w:rsidR="007B4A2F" w:rsidRPr="007B4A2F" w:rsidRDefault="007B4A2F" w:rsidP="007B4A2F">
      <w:pPr>
        <w:rPr>
          <w:rFonts w:asciiTheme="minorHAnsi" w:hAnsiTheme="minorHAnsi" w:cstheme="minorHAnsi"/>
          <w:iCs/>
          <w:color w:val="323A45"/>
        </w:rPr>
      </w:pPr>
      <w:r w:rsidRPr="007B4A2F">
        <w:rPr>
          <w:rFonts w:asciiTheme="minorHAnsi" w:hAnsiTheme="minorHAnsi" w:cstheme="minorHAnsi"/>
          <w:iCs/>
          <w:color w:val="323A45"/>
        </w:rPr>
        <w:t>You do not need to be enrolled in VA health care to take part.</w:t>
      </w:r>
    </w:p>
    <w:p w14:paraId="5637BFDE" w14:textId="33C896CE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</w:pPr>
    </w:p>
    <w:p w14:paraId="084F1B55" w14:textId="2FF42AA9" w:rsidR="007B4A2F" w:rsidRPr="007B4A2F" w:rsidRDefault="001815F6" w:rsidP="007B4A2F">
      <w:pPr>
        <w:rPr>
          <w:rFonts w:asciiTheme="minorHAnsi" w:hAnsiTheme="minorHAnsi" w:cstheme="minorHAnsi"/>
          <w:bCs/>
          <w:iCs/>
          <w:color w:val="323A45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Information:</w:t>
      </w:r>
      <w:r w:rsidR="007B4A2F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="007B4A2F" w:rsidRPr="007B4A2F">
        <w:rPr>
          <w:rFonts w:asciiTheme="minorHAnsi" w:hAnsiTheme="minorHAnsi" w:cstheme="minorHAnsi"/>
          <w:bCs/>
          <w:iCs/>
          <w:color w:val="323A45"/>
        </w:rPr>
        <w:t>This comprehensive health exam includes an exposure and medical history, laboratory tests, and a physical exam. A VA health professional will discuss the results face-to-face with the Veteran and in a follow-up letter.</w:t>
      </w:r>
    </w:p>
    <w:p w14:paraId="5DD82F8B" w14:textId="77777777" w:rsidR="007B4A2F" w:rsidRPr="007B4A2F" w:rsidRDefault="007B4A2F" w:rsidP="007B4A2F">
      <w:pPr>
        <w:rPr>
          <w:rFonts w:asciiTheme="minorHAnsi" w:hAnsiTheme="minorHAnsi" w:cstheme="minorHAnsi"/>
          <w:bCs/>
          <w:iCs/>
          <w:color w:val="323A45"/>
        </w:rPr>
      </w:pPr>
      <w:r w:rsidRPr="007B4A2F">
        <w:rPr>
          <w:rFonts w:asciiTheme="minorHAnsi" w:hAnsiTheme="minorHAnsi" w:cstheme="minorHAnsi"/>
          <w:bCs/>
          <w:iCs/>
          <w:color w:val="323A45"/>
        </w:rPr>
        <w:t>Important points about registry health exams</w:t>
      </w:r>
    </w:p>
    <w:p w14:paraId="49A4D305" w14:textId="77777777" w:rsidR="007B4A2F" w:rsidRPr="007B4A2F" w:rsidRDefault="007B4A2F" w:rsidP="007B4A2F">
      <w:pPr>
        <w:numPr>
          <w:ilvl w:val="0"/>
          <w:numId w:val="5"/>
        </w:numPr>
        <w:rPr>
          <w:rFonts w:asciiTheme="minorHAnsi" w:hAnsiTheme="minorHAnsi" w:cstheme="minorHAnsi"/>
          <w:bCs/>
          <w:iCs/>
          <w:color w:val="323A45"/>
        </w:rPr>
      </w:pPr>
      <w:r w:rsidRPr="007B4A2F">
        <w:rPr>
          <w:rFonts w:asciiTheme="minorHAnsi" w:hAnsiTheme="minorHAnsi" w:cstheme="minorHAnsi"/>
          <w:bCs/>
          <w:iCs/>
          <w:color w:val="323A45"/>
        </w:rPr>
        <w:t>Free to eligible Veterans and no co-payment</w:t>
      </w:r>
    </w:p>
    <w:p w14:paraId="53403364" w14:textId="77777777" w:rsidR="007B4A2F" w:rsidRPr="007B4A2F" w:rsidRDefault="007B4A2F" w:rsidP="007B4A2F">
      <w:pPr>
        <w:numPr>
          <w:ilvl w:val="0"/>
          <w:numId w:val="5"/>
        </w:numPr>
        <w:rPr>
          <w:rFonts w:asciiTheme="minorHAnsi" w:hAnsiTheme="minorHAnsi" w:cstheme="minorHAnsi"/>
          <w:bCs/>
          <w:iCs/>
          <w:color w:val="323A45"/>
        </w:rPr>
      </w:pPr>
      <w:r w:rsidRPr="007B4A2F">
        <w:rPr>
          <w:rFonts w:asciiTheme="minorHAnsi" w:hAnsiTheme="minorHAnsi" w:cstheme="minorHAnsi"/>
          <w:bCs/>
          <w:iCs/>
          <w:color w:val="323A45"/>
        </w:rPr>
        <w:t>Not a disability compensation exam or required for other VA benefits</w:t>
      </w:r>
    </w:p>
    <w:p w14:paraId="61007598" w14:textId="77777777" w:rsidR="007B4A2F" w:rsidRPr="007B4A2F" w:rsidRDefault="007B4A2F" w:rsidP="007B4A2F">
      <w:pPr>
        <w:numPr>
          <w:ilvl w:val="0"/>
          <w:numId w:val="5"/>
        </w:numPr>
        <w:rPr>
          <w:rFonts w:asciiTheme="minorHAnsi" w:hAnsiTheme="minorHAnsi" w:cstheme="minorHAnsi"/>
          <w:bCs/>
          <w:iCs/>
          <w:color w:val="323A45"/>
        </w:rPr>
      </w:pPr>
      <w:r w:rsidRPr="007B4A2F">
        <w:rPr>
          <w:rFonts w:asciiTheme="minorHAnsi" w:hAnsiTheme="minorHAnsi" w:cstheme="minorHAnsi"/>
          <w:bCs/>
          <w:iCs/>
          <w:color w:val="323A45"/>
        </w:rPr>
        <w:t>Enrollment in VA's health care system not necessary</w:t>
      </w:r>
    </w:p>
    <w:p w14:paraId="69AC2221" w14:textId="77777777" w:rsidR="007B4A2F" w:rsidRPr="007B4A2F" w:rsidRDefault="007B4A2F" w:rsidP="007B4A2F">
      <w:pPr>
        <w:numPr>
          <w:ilvl w:val="0"/>
          <w:numId w:val="5"/>
        </w:numPr>
        <w:rPr>
          <w:rFonts w:asciiTheme="minorHAnsi" w:hAnsiTheme="minorHAnsi" w:cstheme="minorHAnsi"/>
          <w:bCs/>
          <w:iCs/>
          <w:color w:val="323A45"/>
        </w:rPr>
      </w:pPr>
      <w:r w:rsidRPr="007B4A2F">
        <w:rPr>
          <w:rFonts w:asciiTheme="minorHAnsi" w:hAnsiTheme="minorHAnsi" w:cstheme="minorHAnsi"/>
          <w:bCs/>
          <w:iCs/>
          <w:color w:val="323A45"/>
        </w:rPr>
        <w:t>Based on Veterans’ recollection of service, not on their military records</w:t>
      </w:r>
    </w:p>
    <w:p w14:paraId="0BA64AFF" w14:textId="77777777" w:rsidR="007B4A2F" w:rsidRPr="007B4A2F" w:rsidRDefault="007B4A2F" w:rsidP="007B4A2F">
      <w:pPr>
        <w:numPr>
          <w:ilvl w:val="0"/>
          <w:numId w:val="5"/>
        </w:numPr>
        <w:rPr>
          <w:rFonts w:asciiTheme="minorHAnsi" w:hAnsiTheme="minorHAnsi" w:cstheme="minorHAnsi"/>
          <w:bCs/>
          <w:iCs/>
          <w:color w:val="323A45"/>
        </w:rPr>
      </w:pPr>
      <w:r w:rsidRPr="007B4A2F">
        <w:rPr>
          <w:rFonts w:asciiTheme="minorHAnsi" w:hAnsiTheme="minorHAnsi" w:cstheme="minorHAnsi"/>
          <w:bCs/>
          <w:iCs/>
          <w:color w:val="323A45"/>
        </w:rPr>
        <w:t>Veterans can receive additional registry exams, if new problems develop</w:t>
      </w:r>
    </w:p>
    <w:p w14:paraId="0597C78C" w14:textId="77777777" w:rsidR="007B4A2F" w:rsidRPr="007B4A2F" w:rsidRDefault="007B4A2F" w:rsidP="007B4A2F">
      <w:pPr>
        <w:numPr>
          <w:ilvl w:val="0"/>
          <w:numId w:val="5"/>
        </w:numPr>
        <w:rPr>
          <w:rFonts w:asciiTheme="minorHAnsi" w:hAnsiTheme="minorHAnsi" w:cstheme="minorHAnsi"/>
          <w:bCs/>
          <w:iCs/>
          <w:color w:val="323A45"/>
        </w:rPr>
      </w:pPr>
      <w:r w:rsidRPr="007B4A2F">
        <w:rPr>
          <w:rFonts w:asciiTheme="minorHAnsi" w:hAnsiTheme="minorHAnsi" w:cstheme="minorHAnsi"/>
          <w:bCs/>
          <w:iCs/>
          <w:color w:val="323A45"/>
        </w:rPr>
        <w:t>Veterans' family members are not eligible for registry exams</w:t>
      </w:r>
    </w:p>
    <w:p w14:paraId="6257F3B7" w14:textId="77777777" w:rsidR="000E3A4D" w:rsidRPr="00DD70BA" w:rsidRDefault="000E3A4D" w:rsidP="000E3A4D">
      <w:pPr>
        <w:rPr>
          <w:rFonts w:asciiTheme="minorHAnsi" w:hAnsiTheme="minorHAnsi" w:cstheme="minorHAnsi"/>
        </w:rPr>
      </w:pPr>
    </w:p>
    <w:p w14:paraId="5ECB343F" w14:textId="45155515" w:rsidR="00BF349D" w:rsidRPr="00DD70BA" w:rsidRDefault="000E3A4D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POCs:</w:t>
      </w:r>
      <w:r w:rsidRPr="00DD70BA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  <w:r w:rsidR="007B4A2F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  <w:r w:rsidR="00BF349D" w:rsidRPr="00DD70BA">
        <w:rPr>
          <w:rFonts w:asciiTheme="minorHAnsi" w:hAnsiTheme="minorHAnsi" w:cstheme="minorHAnsi"/>
          <w:color w:val="323A45"/>
          <w:sz w:val="24"/>
          <w:szCs w:val="24"/>
        </w:rPr>
        <w:t>Local VA Environmental Health Coordinators:</w:t>
      </w:r>
    </w:p>
    <w:p w14:paraId="34A04581" w14:textId="77777777" w:rsidR="00BF349D" w:rsidRPr="00DD70BA" w:rsidRDefault="00BF349D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</w:p>
    <w:p w14:paraId="03973FEE" w14:textId="0CE85DBE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 xml:space="preserve">Justo Hernandez  </w:t>
      </w:r>
    </w:p>
    <w:p w14:paraId="5C7C4DAC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(734) 845-5070</w:t>
      </w:r>
    </w:p>
    <w:p w14:paraId="27BCB2E0" w14:textId="77777777" w:rsidR="00BF349D" w:rsidRPr="00DD70BA" w:rsidRDefault="00FD2176" w:rsidP="00BF349D">
      <w:pPr>
        <w:rPr>
          <w:rFonts w:asciiTheme="minorHAnsi" w:hAnsiTheme="minorHAnsi" w:cstheme="minorHAnsi"/>
          <w:i/>
          <w:iCs/>
          <w:color w:val="323A45"/>
        </w:rPr>
      </w:pPr>
      <w:hyperlink r:id="rId11" w:history="1">
        <w:r w:rsidR="00BF349D" w:rsidRPr="00DD70BA">
          <w:rPr>
            <w:rStyle w:val="Hyperlink"/>
            <w:rFonts w:asciiTheme="minorHAnsi" w:hAnsiTheme="minorHAnsi" w:cstheme="minorHAnsi"/>
            <w:i/>
            <w:iCs/>
          </w:rPr>
          <w:t>Justo.Hernandez@va.gov</w:t>
        </w:r>
      </w:hyperlink>
    </w:p>
    <w:p w14:paraId="0D270ABA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Fax: (784) 845-8987</w:t>
      </w:r>
    </w:p>
    <w:p w14:paraId="2DD342C2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VA Ann Arbor Health Care System</w:t>
      </w:r>
    </w:p>
    <w:p w14:paraId="1CB4E75E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2215 Fuller Road</w:t>
      </w:r>
    </w:p>
    <w:p w14:paraId="631CC149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Ann Arbor, MI 48105</w:t>
      </w:r>
    </w:p>
    <w:p w14:paraId="08946606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</w:p>
    <w:p w14:paraId="401AB4FE" w14:textId="59F5E5A3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 xml:space="preserve">Angela </w:t>
      </w:r>
      <w:r w:rsidR="00BD4337" w:rsidRPr="00DD70BA">
        <w:rPr>
          <w:rFonts w:asciiTheme="minorHAnsi" w:hAnsiTheme="minorHAnsi" w:cstheme="minorHAnsi"/>
          <w:i/>
          <w:iCs/>
          <w:color w:val="323A45"/>
        </w:rPr>
        <w:t>Stinson </w:t>
      </w:r>
    </w:p>
    <w:p w14:paraId="5B9E52AF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lastRenderedPageBreak/>
        <w:t>(269) 966-5600 x33887</w:t>
      </w:r>
    </w:p>
    <w:p w14:paraId="63D6D851" w14:textId="77777777" w:rsidR="00BF349D" w:rsidRPr="00DD70BA" w:rsidRDefault="00FD2176" w:rsidP="00BF349D">
      <w:pPr>
        <w:rPr>
          <w:rFonts w:asciiTheme="minorHAnsi" w:hAnsiTheme="minorHAnsi" w:cstheme="minorHAnsi"/>
          <w:i/>
          <w:iCs/>
          <w:color w:val="323A45"/>
        </w:rPr>
      </w:pPr>
      <w:hyperlink r:id="rId12" w:history="1">
        <w:r w:rsidR="00BF349D" w:rsidRPr="00DD70BA">
          <w:rPr>
            <w:rStyle w:val="Hyperlink"/>
            <w:rFonts w:asciiTheme="minorHAnsi" w:hAnsiTheme="minorHAnsi" w:cstheme="minorHAnsi"/>
            <w:i/>
            <w:iCs/>
          </w:rPr>
          <w:t>Angela.Stinson@va.gov</w:t>
        </w:r>
      </w:hyperlink>
    </w:p>
    <w:p w14:paraId="443585F9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Fax: (269) 223-6082</w:t>
      </w:r>
    </w:p>
    <w:p w14:paraId="54618689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Battle Creek VA Medical Center</w:t>
      </w:r>
    </w:p>
    <w:p w14:paraId="3C7310E2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5500 Armstrong Road</w:t>
      </w:r>
    </w:p>
    <w:p w14:paraId="4794985E" w14:textId="44916922" w:rsidR="00BF349D" w:rsidRPr="00DD70BA" w:rsidRDefault="00BF349D" w:rsidP="00BF349D">
      <w:pPr>
        <w:rPr>
          <w:rFonts w:asciiTheme="minorHAnsi" w:hAnsiTheme="minorHAnsi" w:cstheme="minorHAnsi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Battle Creek, MI 49037</w:t>
      </w:r>
    </w:p>
    <w:p w14:paraId="2AA62FB5" w14:textId="77777777" w:rsidR="00E83017" w:rsidRPr="00DD70BA" w:rsidRDefault="00E83017">
      <w:pPr>
        <w:rPr>
          <w:rFonts w:asciiTheme="minorHAnsi" w:hAnsiTheme="minorHAnsi" w:cstheme="minorHAnsi"/>
        </w:rPr>
      </w:pPr>
    </w:p>
    <w:sectPr w:rsidR="00E83017" w:rsidRPr="00DD70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0971E" w14:textId="77777777" w:rsidR="00FD2176" w:rsidRDefault="00FD2176" w:rsidP="0009402F">
      <w:r>
        <w:separator/>
      </w:r>
    </w:p>
  </w:endnote>
  <w:endnote w:type="continuationSeparator" w:id="0">
    <w:p w14:paraId="02B3650F" w14:textId="77777777" w:rsidR="00FD2176" w:rsidRDefault="00FD2176" w:rsidP="000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5C21" w14:textId="77777777" w:rsidR="00CD4A44" w:rsidRDefault="00CD4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05AD" w14:textId="77777777" w:rsidR="00CD4A44" w:rsidRDefault="00CD4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43E1" w14:textId="77777777" w:rsidR="00CD4A44" w:rsidRDefault="00CD4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2631E" w14:textId="77777777" w:rsidR="00FD2176" w:rsidRDefault="00FD2176" w:rsidP="0009402F">
      <w:r>
        <w:separator/>
      </w:r>
    </w:p>
  </w:footnote>
  <w:footnote w:type="continuationSeparator" w:id="0">
    <w:p w14:paraId="62814125" w14:textId="77777777" w:rsidR="00FD2176" w:rsidRDefault="00FD2176" w:rsidP="0009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864A5" w14:textId="77777777" w:rsidR="00CD4A44" w:rsidRDefault="00CD4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3EEC0" w14:textId="31B9B5C3" w:rsidR="0009402F" w:rsidRDefault="00CD4A44">
    <w:pPr>
      <w:pStyle w:val="Header"/>
    </w:pPr>
    <w:r>
      <w:t xml:space="preserve">7 Jan </w:t>
    </w:r>
    <w:r>
      <w:t>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013B" w14:textId="77777777" w:rsidR="00CD4A44" w:rsidRDefault="00CD4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39D"/>
    <w:multiLevelType w:val="multilevel"/>
    <w:tmpl w:val="A75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550C8E"/>
    <w:multiLevelType w:val="multilevel"/>
    <w:tmpl w:val="8EF03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447AD"/>
    <w:multiLevelType w:val="multilevel"/>
    <w:tmpl w:val="FABCC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060CB"/>
    <w:multiLevelType w:val="multilevel"/>
    <w:tmpl w:val="4030C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D119C"/>
    <w:multiLevelType w:val="multilevel"/>
    <w:tmpl w:val="A6D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9D"/>
    <w:rsid w:val="0009402F"/>
    <w:rsid w:val="000E3A4D"/>
    <w:rsid w:val="00103C27"/>
    <w:rsid w:val="001815F6"/>
    <w:rsid w:val="002D3BEB"/>
    <w:rsid w:val="0037493D"/>
    <w:rsid w:val="00374A8F"/>
    <w:rsid w:val="005F0436"/>
    <w:rsid w:val="006476BB"/>
    <w:rsid w:val="006B3AC9"/>
    <w:rsid w:val="007B4A2F"/>
    <w:rsid w:val="00933FE7"/>
    <w:rsid w:val="00A60C4A"/>
    <w:rsid w:val="00A67D95"/>
    <w:rsid w:val="00B12BB2"/>
    <w:rsid w:val="00BD4337"/>
    <w:rsid w:val="00BF349D"/>
    <w:rsid w:val="00CD4A44"/>
    <w:rsid w:val="00D304FE"/>
    <w:rsid w:val="00D33C98"/>
    <w:rsid w:val="00D629C3"/>
    <w:rsid w:val="00DD70BA"/>
    <w:rsid w:val="00E83017"/>
    <w:rsid w:val="00EB71A7"/>
    <w:rsid w:val="00F451F5"/>
    <w:rsid w:val="00FC2060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D6CE"/>
  <w15:chartTrackingRefBased/>
  <w15:docId w15:val="{F9AA0D54-546A-49FE-868A-F1E35A0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4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4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A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4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0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4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02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74A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.va.gov/exposures/gulfwar/medically-unexplained-illness.as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ublichealth.va.gov/exposures/gulfwar/military-service.asp" TargetMode="External"/><Relationship Id="rId12" Type="http://schemas.openxmlformats.org/officeDocument/2006/relationships/hyperlink" Target="mailto:Angela.Stinson@va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sto.Hernandez@v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ublichealth.va.gov/exposures/publications/gulf-war/gulf-war-spring-2015/gulf-war-registry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health.va.gov/exposures/gulfwar/benefits/registry-exam.as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Young</dc:creator>
  <cp:keywords/>
  <dc:description/>
  <cp:lastModifiedBy>Mark Young</cp:lastModifiedBy>
  <cp:revision>8</cp:revision>
  <dcterms:created xsi:type="dcterms:W3CDTF">2018-10-10T20:09:00Z</dcterms:created>
  <dcterms:modified xsi:type="dcterms:W3CDTF">2019-01-07T23:18:00Z</dcterms:modified>
</cp:coreProperties>
</file>